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D0" w:rsidRDefault="00702095" w:rsidP="00702095">
      <w:pPr>
        <w:spacing w:before="202" w:line="276" w:lineRule="auto"/>
        <w:ind w:left="101" w:right="114"/>
        <w:rPr>
          <w:b/>
          <w:color w:val="212121"/>
        </w:rPr>
      </w:pPr>
      <w:r w:rsidRPr="00702095">
        <w:rPr>
          <w:b/>
          <w:color w:val="212121"/>
        </w:rPr>
        <w:t xml:space="preserve">Modelos de Notas de Unidad de Medida para ejercicios </w:t>
      </w:r>
      <w:r w:rsidR="004F74D0" w:rsidRPr="00702095">
        <w:rPr>
          <w:b/>
          <w:color w:val="212121"/>
        </w:rPr>
        <w:t>que cierren hasta el 30 de junio de 2018 y que se aprueben para su publicación con posterioridad a la fecha de la Resolución JG</w:t>
      </w:r>
      <w:r w:rsidR="004F74D0" w:rsidRPr="00702095">
        <w:rPr>
          <w:b/>
          <w:color w:val="212121"/>
          <w:spacing w:val="-11"/>
        </w:rPr>
        <w:t xml:space="preserve"> </w:t>
      </w:r>
      <w:r w:rsidR="004F74D0" w:rsidRPr="00702095">
        <w:rPr>
          <w:b/>
          <w:color w:val="212121"/>
        </w:rPr>
        <w:t>539-18</w:t>
      </w:r>
    </w:p>
    <w:p w:rsidR="00702095" w:rsidRDefault="002D0114" w:rsidP="00702095">
      <w:pPr>
        <w:spacing w:before="202" w:line="276" w:lineRule="auto"/>
        <w:ind w:left="101" w:right="114"/>
        <w:rPr>
          <w:color w:val="212121"/>
          <w:u w:val="single"/>
        </w:rPr>
      </w:pPr>
      <w:r w:rsidRPr="00702095">
        <w:rPr>
          <w:u w:val="single"/>
        </w:rPr>
        <w:t xml:space="preserve">NOTA N° </w:t>
      </w:r>
      <w:r w:rsidR="00702095" w:rsidRPr="00702095">
        <w:rPr>
          <w:color w:val="FF0000"/>
          <w:u w:val="single"/>
        </w:rPr>
        <w:t>XX</w:t>
      </w:r>
      <w:r w:rsidRPr="00702095">
        <w:rPr>
          <w:u w:val="single"/>
        </w:rPr>
        <w:t xml:space="preserve">: </w:t>
      </w:r>
      <w:r w:rsidR="00702095" w:rsidRPr="00702095">
        <w:rPr>
          <w:color w:val="212121"/>
          <w:u w:val="single"/>
        </w:rPr>
        <w:t>Unidad de Medida para ejercicios cerrados al 30 de junio de 2018</w:t>
      </w:r>
    </w:p>
    <w:p w:rsidR="00BD0DE4" w:rsidRPr="00702095" w:rsidRDefault="002D0114">
      <w:pPr>
        <w:pStyle w:val="Textoindependiente"/>
        <w:spacing w:before="0" w:line="276" w:lineRule="auto"/>
        <w:ind w:right="116"/>
        <w:rPr>
          <w:sz w:val="22"/>
          <w:szCs w:val="22"/>
        </w:rPr>
      </w:pPr>
      <w:r w:rsidRPr="00702095">
        <w:rPr>
          <w:sz w:val="22"/>
          <w:szCs w:val="22"/>
        </w:rPr>
        <w:t xml:space="preserve">Los estados contables han sido preparados en moneda homogénea, de conformidad a las Normas Contables Profesionales Argentinas (NCPA) de la Federación Argentina de Consejos Profesionales de </w:t>
      </w:r>
      <w:r w:rsidRPr="00702095">
        <w:rPr>
          <w:sz w:val="22"/>
          <w:szCs w:val="22"/>
        </w:rPr>
        <w:t>Ciencias Económicas (FACPCE), basado en los siguientes parámetros:</w:t>
      </w:r>
    </w:p>
    <w:p w:rsidR="00BD0DE4" w:rsidRPr="00702095" w:rsidRDefault="002D0114">
      <w:pPr>
        <w:pStyle w:val="Prrafodelista"/>
        <w:numPr>
          <w:ilvl w:val="0"/>
          <w:numId w:val="4"/>
        </w:numPr>
        <w:tabs>
          <w:tab w:val="left" w:pos="384"/>
        </w:tabs>
        <w:spacing w:line="276" w:lineRule="auto"/>
        <w:ind w:right="117" w:firstLine="0"/>
        <w:jc w:val="both"/>
      </w:pPr>
      <w:r w:rsidRPr="00702095">
        <w:t>Ajuste por inflación por el período 01/01/2002 hasta el 30/09/2003 (o hasta la fecha de interrupción del ajuste), basado en la RT N° 17 y la RT N° 6 vigentes en ese</w:t>
      </w:r>
      <w:r w:rsidRPr="00702095">
        <w:rPr>
          <w:spacing w:val="-1"/>
        </w:rPr>
        <w:t xml:space="preserve"> </w:t>
      </w:r>
      <w:r w:rsidRPr="00702095">
        <w:t>período.</w:t>
      </w:r>
    </w:p>
    <w:p w:rsidR="00BD0DE4" w:rsidRPr="00702095" w:rsidRDefault="002D0114">
      <w:pPr>
        <w:pStyle w:val="Prrafodelista"/>
        <w:numPr>
          <w:ilvl w:val="0"/>
          <w:numId w:val="4"/>
        </w:numPr>
        <w:tabs>
          <w:tab w:val="left" w:pos="445"/>
        </w:tabs>
        <w:spacing w:before="159" w:line="276" w:lineRule="auto"/>
        <w:ind w:right="115" w:firstLine="0"/>
        <w:jc w:val="both"/>
      </w:pPr>
      <w:r w:rsidRPr="00702095">
        <w:t>Contexto económico de estabilidad por el período comprendido entre el 30/09/2003 hasta la sanción de la RT N° 39, modificatoria de las RT N° 17 y</w:t>
      </w:r>
      <w:r w:rsidRPr="00702095">
        <w:rPr>
          <w:spacing w:val="36"/>
        </w:rPr>
        <w:t xml:space="preserve"> </w:t>
      </w:r>
      <w:r w:rsidRPr="00702095">
        <w:t>N°</w:t>
      </w:r>
    </w:p>
    <w:p w:rsidR="00BD0DE4" w:rsidRPr="00702095" w:rsidRDefault="002D0114">
      <w:pPr>
        <w:pStyle w:val="Textoindependiente"/>
        <w:spacing w:before="0" w:line="276" w:lineRule="auto"/>
        <w:ind w:right="115"/>
        <w:rPr>
          <w:sz w:val="22"/>
          <w:szCs w:val="22"/>
        </w:rPr>
      </w:pPr>
      <w:r w:rsidRPr="00702095">
        <w:rPr>
          <w:sz w:val="22"/>
          <w:szCs w:val="22"/>
        </w:rPr>
        <w:t xml:space="preserve">6. La citada RT N° 39 fue posteriormente interpretada por la Interpretación N° 8 de la FACPCE. Las citadas </w:t>
      </w:r>
      <w:r w:rsidRPr="00702095">
        <w:rPr>
          <w:sz w:val="22"/>
          <w:szCs w:val="22"/>
        </w:rPr>
        <w:t xml:space="preserve">normas fueron aprobadas mediante </w:t>
      </w:r>
      <w:r w:rsidR="0097563F" w:rsidRPr="00702095">
        <w:rPr>
          <w:sz w:val="22"/>
          <w:szCs w:val="22"/>
        </w:rPr>
        <w:t>Resolución</w:t>
      </w:r>
      <w:r w:rsidRPr="00702095">
        <w:rPr>
          <w:sz w:val="22"/>
          <w:szCs w:val="22"/>
        </w:rPr>
        <w:t xml:space="preserve"> N°</w:t>
      </w:r>
      <w:r w:rsidR="0097563F" w:rsidRPr="00702095">
        <w:rPr>
          <w:sz w:val="22"/>
          <w:szCs w:val="22"/>
        </w:rPr>
        <w:t xml:space="preserve"> 27/14 </w:t>
      </w:r>
      <w:r w:rsidRPr="00702095">
        <w:rPr>
          <w:sz w:val="22"/>
          <w:szCs w:val="22"/>
        </w:rPr>
        <w:t xml:space="preserve">del CPCE de </w:t>
      </w:r>
      <w:r w:rsidR="00240692" w:rsidRPr="00702095">
        <w:rPr>
          <w:sz w:val="22"/>
          <w:szCs w:val="22"/>
        </w:rPr>
        <w:t>JuJuy</w:t>
      </w:r>
      <w:r w:rsidRPr="00702095">
        <w:rPr>
          <w:sz w:val="22"/>
          <w:szCs w:val="22"/>
        </w:rPr>
        <w:t>.</w:t>
      </w:r>
    </w:p>
    <w:p w:rsidR="00BD0DE4" w:rsidRPr="00702095" w:rsidRDefault="002D0114" w:rsidP="00702095">
      <w:pPr>
        <w:pStyle w:val="Prrafodelista"/>
        <w:numPr>
          <w:ilvl w:val="0"/>
          <w:numId w:val="4"/>
        </w:numPr>
        <w:tabs>
          <w:tab w:val="left" w:pos="430"/>
        </w:tabs>
        <w:spacing w:before="82" w:line="276" w:lineRule="auto"/>
        <w:ind w:firstLine="0"/>
        <w:jc w:val="both"/>
      </w:pPr>
      <w:r w:rsidRPr="00702095">
        <w:t>A partir de la Interpretación N° 8 de la FACPCE, se analizó si el IPIM elaborado por el Instituto Nacional de</w:t>
      </w:r>
      <w:r w:rsidRPr="00702095">
        <w:rPr>
          <w:spacing w:val="24"/>
        </w:rPr>
        <w:t xml:space="preserve"> </w:t>
      </w:r>
      <w:r w:rsidRPr="00702095">
        <w:t>Estadísticas y Censos (INDEC), en la</w:t>
      </w:r>
      <w:r w:rsidR="00702095" w:rsidRPr="00702095">
        <w:t xml:space="preserve"> </w:t>
      </w:r>
      <w:r w:rsidRPr="00702095">
        <w:t xml:space="preserve">modalidad aprobada por la Res. JG N° 517/16 de la FACPCE, alcanzó o sobrepasó el 100% </w:t>
      </w:r>
      <w:r w:rsidRPr="00702095">
        <w:rPr>
          <w:color w:val="212121"/>
        </w:rPr>
        <w:t>acumulado en tres años.</w:t>
      </w:r>
    </w:p>
    <w:p w:rsidR="00BD0DE4" w:rsidRPr="00702095" w:rsidRDefault="002D0114">
      <w:pPr>
        <w:pStyle w:val="Prrafodelista"/>
        <w:numPr>
          <w:ilvl w:val="0"/>
          <w:numId w:val="4"/>
        </w:numPr>
        <w:tabs>
          <w:tab w:val="left" w:pos="442"/>
        </w:tabs>
        <w:spacing w:line="276" w:lineRule="auto"/>
        <w:ind w:firstLine="0"/>
        <w:jc w:val="both"/>
      </w:pPr>
      <w:r w:rsidRPr="00702095">
        <w:t xml:space="preserve">Mediante las Res. </w:t>
      </w:r>
      <w:r w:rsidR="00240692" w:rsidRPr="00702095">
        <w:t>FACPCE</w:t>
      </w:r>
      <w:r w:rsidRPr="00702095">
        <w:t xml:space="preserve"> N° 517/16 y N° </w:t>
      </w:r>
      <w:r w:rsidR="00240692" w:rsidRPr="00702095">
        <w:t>879</w:t>
      </w:r>
      <w:r w:rsidRPr="00702095">
        <w:t xml:space="preserve">/17 y la Res. MD N° 913/18 </w:t>
      </w:r>
      <w:r w:rsidRPr="00702095">
        <w:t xml:space="preserve">de la FACPCE, se estableció </w:t>
      </w:r>
      <w:r w:rsidRPr="00702095">
        <w:t xml:space="preserve">que no correspondía analizar la sección </w:t>
      </w:r>
      <w:r w:rsidRPr="00702095">
        <w:rPr>
          <w:color w:val="FF0000"/>
        </w:rPr>
        <w:t>3.1. de la RT N° 17 (o 2.6. de la RT N° 41)</w:t>
      </w:r>
      <w:r w:rsidRPr="00702095">
        <w:t xml:space="preserve"> para los ejercicios cerrados hasta el 30/09/18 y por ende no se ajustaron por inflación los Estados Contables de conformidad con la RT N° 6 de</w:t>
      </w:r>
      <w:r w:rsidRPr="00702095">
        <w:rPr>
          <w:spacing w:val="-32"/>
        </w:rPr>
        <w:t xml:space="preserve"> </w:t>
      </w:r>
      <w:r w:rsidRPr="00702095">
        <w:t>FACPCE.</w:t>
      </w:r>
    </w:p>
    <w:p w:rsidR="00BD0DE4" w:rsidRPr="00702095" w:rsidRDefault="002D0114">
      <w:pPr>
        <w:pStyle w:val="Textoindependiente"/>
        <w:spacing w:line="276" w:lineRule="auto"/>
        <w:ind w:right="116"/>
        <w:rPr>
          <w:sz w:val="22"/>
          <w:szCs w:val="22"/>
        </w:rPr>
      </w:pPr>
      <w:r w:rsidRPr="00702095">
        <w:rPr>
          <w:sz w:val="22"/>
          <w:szCs w:val="22"/>
        </w:rPr>
        <w:t>Durante el primer sem</w:t>
      </w:r>
      <w:r w:rsidRPr="00702095">
        <w:rPr>
          <w:sz w:val="22"/>
          <w:szCs w:val="22"/>
        </w:rPr>
        <w:t>estre de 2018, diversos factores macroeconómicos produjeron una reversión de la tendencia inflacionaria, resultando en índices de inflación que excedieron el 100% acumulado en tres años, y en proyecciones de inflación que confirmaron dicha tendencia. Por o</w:t>
      </w:r>
      <w:r w:rsidRPr="00702095">
        <w:rPr>
          <w:sz w:val="22"/>
          <w:szCs w:val="22"/>
        </w:rPr>
        <w:t xml:space="preserve">tra parte, los indicadores cualitativos de alta inflación previstos en el punto </w:t>
      </w:r>
      <w:r w:rsidRPr="00702095">
        <w:rPr>
          <w:color w:val="FF0000"/>
          <w:sz w:val="22"/>
          <w:szCs w:val="22"/>
        </w:rPr>
        <w:t>3.1. de la RT N° 17 (o 2.6 de la RT N° 41)</w:t>
      </w:r>
      <w:r w:rsidRPr="00702095">
        <w:rPr>
          <w:sz w:val="22"/>
          <w:szCs w:val="22"/>
        </w:rPr>
        <w:t xml:space="preserve"> mostraron evidencias</w:t>
      </w:r>
      <w:r w:rsidRPr="00702095">
        <w:rPr>
          <w:spacing w:val="-4"/>
          <w:sz w:val="22"/>
          <w:szCs w:val="22"/>
        </w:rPr>
        <w:t xml:space="preserve"> </w:t>
      </w:r>
      <w:r w:rsidRPr="00702095">
        <w:rPr>
          <w:sz w:val="22"/>
          <w:szCs w:val="22"/>
        </w:rPr>
        <w:t>coincidentes.</w:t>
      </w:r>
    </w:p>
    <w:p w:rsidR="00BD0DE4" w:rsidRPr="00702095" w:rsidRDefault="002D0114">
      <w:pPr>
        <w:pStyle w:val="Textoindependiente"/>
        <w:spacing w:line="276" w:lineRule="auto"/>
        <w:ind w:right="116"/>
        <w:rPr>
          <w:sz w:val="22"/>
          <w:szCs w:val="22"/>
        </w:rPr>
      </w:pPr>
      <w:r w:rsidRPr="00702095">
        <w:rPr>
          <w:sz w:val="22"/>
          <w:szCs w:val="22"/>
        </w:rPr>
        <w:t>Por lo expuesto, atendiendo a la importancia de que todas las entidades apliquen los requerimiento</w:t>
      </w:r>
      <w:r w:rsidRPr="00702095">
        <w:rPr>
          <w:sz w:val="22"/>
          <w:szCs w:val="22"/>
        </w:rPr>
        <w:t xml:space="preserve">s del ajuste por inflación desde la misma fecha y utilizando el mismo índice de precios, la FACPCE ha dictado la Res. JG 539/18 aprobada por el CPCE de </w:t>
      </w:r>
      <w:r w:rsidR="00240692" w:rsidRPr="00702095">
        <w:rPr>
          <w:sz w:val="22"/>
          <w:szCs w:val="22"/>
        </w:rPr>
        <w:t>Jujuy</w:t>
      </w:r>
      <w:r w:rsidRPr="00702095">
        <w:rPr>
          <w:sz w:val="22"/>
          <w:szCs w:val="22"/>
        </w:rPr>
        <w:t xml:space="preserve">, mediante </w:t>
      </w:r>
      <w:r w:rsidR="00240692" w:rsidRPr="00702095">
        <w:rPr>
          <w:sz w:val="22"/>
          <w:szCs w:val="22"/>
        </w:rPr>
        <w:t>R</w:t>
      </w:r>
      <w:r w:rsidRPr="00702095">
        <w:rPr>
          <w:sz w:val="22"/>
          <w:szCs w:val="22"/>
        </w:rPr>
        <w:t>e</w:t>
      </w:r>
      <w:r w:rsidR="00240692" w:rsidRPr="00702095">
        <w:rPr>
          <w:sz w:val="22"/>
          <w:szCs w:val="22"/>
        </w:rPr>
        <w:t>s.</w:t>
      </w:r>
      <w:r w:rsidRPr="00702095">
        <w:rPr>
          <w:sz w:val="22"/>
          <w:szCs w:val="22"/>
        </w:rPr>
        <w:t xml:space="preserve"> </w:t>
      </w:r>
      <w:r w:rsidR="00240692" w:rsidRPr="00702095">
        <w:rPr>
          <w:sz w:val="22"/>
          <w:szCs w:val="22"/>
        </w:rPr>
        <w:t>CD 38/18</w:t>
      </w:r>
      <w:r w:rsidRPr="00702095">
        <w:rPr>
          <w:sz w:val="22"/>
          <w:szCs w:val="22"/>
        </w:rPr>
        <w:t xml:space="preserve"> indicando, entre otras cuestiones, que la Argentina debe ser considerada una </w:t>
      </w:r>
      <w:r w:rsidRPr="00702095">
        <w:rPr>
          <w:sz w:val="22"/>
          <w:szCs w:val="22"/>
        </w:rPr>
        <w:t xml:space="preserve">economía inflacionaria en los términos de la </w:t>
      </w:r>
      <w:r w:rsidRPr="00702095">
        <w:rPr>
          <w:color w:val="FF0000"/>
          <w:sz w:val="22"/>
          <w:szCs w:val="22"/>
        </w:rPr>
        <w:t>RT N° 17 (o RT N° 41)</w:t>
      </w:r>
      <w:r w:rsidRPr="00702095">
        <w:rPr>
          <w:sz w:val="22"/>
          <w:szCs w:val="22"/>
        </w:rPr>
        <w:t xml:space="preserve"> a partir del 1° de julio de 2018.</w:t>
      </w:r>
    </w:p>
    <w:p w:rsidR="00BD0DE4" w:rsidRPr="00702095" w:rsidRDefault="002D0114">
      <w:pPr>
        <w:pStyle w:val="Textoindependiente"/>
        <w:spacing w:before="159" w:line="276" w:lineRule="auto"/>
        <w:ind w:right="116"/>
        <w:rPr>
          <w:sz w:val="22"/>
          <w:szCs w:val="22"/>
        </w:rPr>
      </w:pPr>
      <w:r w:rsidRPr="00702095">
        <w:rPr>
          <w:sz w:val="22"/>
          <w:szCs w:val="22"/>
        </w:rPr>
        <w:t>En virtud de la normativa detallada, la Dirección de la Sociedad considera que la RT N°6 no debe ser aplicada a los estados contables correspondientes al p</w:t>
      </w:r>
      <w:r w:rsidRPr="00702095">
        <w:rPr>
          <w:sz w:val="22"/>
          <w:szCs w:val="22"/>
        </w:rPr>
        <w:t>eríodo de seis meses finalizado el 30 de junio de</w:t>
      </w:r>
      <w:r w:rsidRPr="00702095">
        <w:rPr>
          <w:spacing w:val="-8"/>
          <w:sz w:val="22"/>
          <w:szCs w:val="22"/>
        </w:rPr>
        <w:t xml:space="preserve"> </w:t>
      </w:r>
      <w:r w:rsidRPr="00702095">
        <w:rPr>
          <w:sz w:val="22"/>
          <w:szCs w:val="22"/>
        </w:rPr>
        <w:t>2018.</w:t>
      </w:r>
    </w:p>
    <w:p w:rsidR="00BD0DE4" w:rsidRDefault="002D0114" w:rsidP="00702095">
      <w:pPr>
        <w:pStyle w:val="Textoindependiente"/>
        <w:spacing w:before="161" w:line="276" w:lineRule="auto"/>
        <w:ind w:right="116"/>
        <w:rPr>
          <w:sz w:val="22"/>
          <w:szCs w:val="22"/>
        </w:rPr>
      </w:pPr>
      <w:r w:rsidRPr="00702095">
        <w:rPr>
          <w:sz w:val="22"/>
          <w:szCs w:val="22"/>
        </w:rPr>
        <w:t>Los principales impactos cualitativos y cuantitativos que producirá la reexpresión de los estados contables en el ejercicio siguiente afectarán los activos, pasivos, composición del patrimonio y</w:t>
      </w:r>
      <w:r w:rsidRPr="00702095">
        <w:rPr>
          <w:spacing w:val="-4"/>
          <w:sz w:val="22"/>
          <w:szCs w:val="22"/>
        </w:rPr>
        <w:t xml:space="preserve"> </w:t>
      </w:r>
      <w:r w:rsidRPr="00702095">
        <w:rPr>
          <w:sz w:val="22"/>
          <w:szCs w:val="22"/>
        </w:rPr>
        <w:t>resul</w:t>
      </w:r>
      <w:r w:rsidRPr="00702095">
        <w:rPr>
          <w:sz w:val="22"/>
          <w:szCs w:val="22"/>
        </w:rPr>
        <w:t>tados.</w:t>
      </w:r>
    </w:p>
    <w:p w:rsidR="004F74D0" w:rsidRDefault="004F74D0" w:rsidP="00702095">
      <w:pPr>
        <w:pStyle w:val="Textoindependiente"/>
        <w:spacing w:before="161" w:line="276" w:lineRule="auto"/>
        <w:ind w:right="116"/>
        <w:rPr>
          <w:sz w:val="22"/>
          <w:szCs w:val="22"/>
        </w:rPr>
      </w:pPr>
    </w:p>
    <w:p w:rsidR="00702095" w:rsidRPr="00702095" w:rsidRDefault="00702095" w:rsidP="00702095">
      <w:pPr>
        <w:pStyle w:val="Heading2"/>
        <w:spacing w:before="1" w:line="276" w:lineRule="auto"/>
        <w:ind w:right="115"/>
        <w:rPr>
          <w:color w:val="212121"/>
          <w:sz w:val="22"/>
          <w:szCs w:val="22"/>
        </w:rPr>
      </w:pPr>
      <w:r w:rsidRPr="00702095">
        <w:rPr>
          <w:color w:val="212121"/>
          <w:sz w:val="22"/>
          <w:szCs w:val="22"/>
        </w:rPr>
        <w:t>Modelo de Nota sobre Hechos Posteriores, para estados contables que cierren hasta el 30 de junio de 2018 y que se aprueben para su publicación con posterioridad a la fecha de la Resolución JG</w:t>
      </w:r>
      <w:r w:rsidRPr="00702095">
        <w:rPr>
          <w:color w:val="212121"/>
          <w:spacing w:val="-11"/>
          <w:sz w:val="22"/>
          <w:szCs w:val="22"/>
        </w:rPr>
        <w:t xml:space="preserve"> </w:t>
      </w:r>
      <w:r w:rsidRPr="00702095">
        <w:rPr>
          <w:color w:val="212121"/>
          <w:sz w:val="22"/>
          <w:szCs w:val="22"/>
        </w:rPr>
        <w:t>539-18</w:t>
      </w:r>
    </w:p>
    <w:p w:rsidR="00702095" w:rsidRPr="00702095" w:rsidRDefault="00702095" w:rsidP="00702095">
      <w:pPr>
        <w:pStyle w:val="Heading2"/>
        <w:spacing w:before="1" w:line="276" w:lineRule="auto"/>
        <w:ind w:right="115"/>
        <w:rPr>
          <w:b w:val="0"/>
          <w:sz w:val="22"/>
          <w:szCs w:val="22"/>
          <w:u w:val="single"/>
        </w:rPr>
      </w:pPr>
    </w:p>
    <w:p w:rsidR="00702095" w:rsidRPr="00702095" w:rsidRDefault="00702095" w:rsidP="00702095">
      <w:pPr>
        <w:pStyle w:val="Heading2"/>
        <w:spacing w:before="1" w:line="276" w:lineRule="auto"/>
        <w:ind w:right="115"/>
        <w:rPr>
          <w:b w:val="0"/>
          <w:sz w:val="22"/>
          <w:szCs w:val="22"/>
          <w:u w:val="single"/>
        </w:rPr>
      </w:pPr>
      <w:r w:rsidRPr="00702095">
        <w:rPr>
          <w:b w:val="0"/>
          <w:sz w:val="22"/>
          <w:szCs w:val="22"/>
          <w:u w:val="single"/>
        </w:rPr>
        <w:t xml:space="preserve">Nota N° </w:t>
      </w:r>
      <w:r w:rsidRPr="00702095">
        <w:rPr>
          <w:b w:val="0"/>
          <w:color w:val="FF0000"/>
          <w:sz w:val="22"/>
          <w:szCs w:val="22"/>
          <w:u w:val="single"/>
        </w:rPr>
        <w:t>XX</w:t>
      </w:r>
      <w:r w:rsidRPr="00702095">
        <w:rPr>
          <w:b w:val="0"/>
          <w:sz w:val="22"/>
          <w:szCs w:val="22"/>
          <w:u w:val="single"/>
        </w:rPr>
        <w:t>: Hechos posteriores al cierre del período/ejercicio  – Aplicación de la Resolución Técnica (RT) N° 6 de la FACPCE, Estados Contables en Moneda Homogénea</w:t>
      </w:r>
    </w:p>
    <w:p w:rsidR="00702095" w:rsidRPr="00702095" w:rsidRDefault="00702095" w:rsidP="00702095">
      <w:pPr>
        <w:pStyle w:val="Textoindependiente"/>
        <w:spacing w:before="159" w:line="276" w:lineRule="auto"/>
        <w:ind w:right="115"/>
        <w:rPr>
          <w:sz w:val="22"/>
          <w:szCs w:val="22"/>
        </w:rPr>
      </w:pPr>
      <w:r w:rsidRPr="00702095">
        <w:rPr>
          <w:sz w:val="22"/>
          <w:szCs w:val="22"/>
        </w:rPr>
        <w:t xml:space="preserve">Los estados contables han sido preparados de conformidad a las Normas Contables Profesionales Argentinas (NCPA) vigentes emitidas por la Federación Argentina de Consejos Profesionales de Ciencias Económicas (FACPCE), en base a los parámetros mencionados en Nota N° </w:t>
      </w:r>
      <w:r w:rsidRPr="00702095">
        <w:rPr>
          <w:color w:val="FF0000"/>
          <w:sz w:val="22"/>
          <w:szCs w:val="22"/>
        </w:rPr>
        <w:t>XX</w:t>
      </w:r>
      <w:r w:rsidRPr="00702095">
        <w:rPr>
          <w:sz w:val="22"/>
          <w:szCs w:val="22"/>
        </w:rPr>
        <w:t xml:space="preserve"> en la cual  se detallan las normas aplicadas en los respectivos</w:t>
      </w:r>
      <w:r w:rsidRPr="00702095">
        <w:rPr>
          <w:spacing w:val="-10"/>
          <w:sz w:val="22"/>
          <w:szCs w:val="22"/>
        </w:rPr>
        <w:t xml:space="preserve"> </w:t>
      </w:r>
      <w:r w:rsidRPr="00702095">
        <w:rPr>
          <w:sz w:val="22"/>
          <w:szCs w:val="22"/>
        </w:rPr>
        <w:t>períodos.</w:t>
      </w:r>
    </w:p>
    <w:p w:rsidR="00702095" w:rsidRPr="00702095" w:rsidRDefault="00702095" w:rsidP="00702095">
      <w:pPr>
        <w:pStyle w:val="Textoindependiente"/>
        <w:spacing w:before="82" w:line="276" w:lineRule="auto"/>
        <w:ind w:right="115"/>
        <w:rPr>
          <w:sz w:val="22"/>
          <w:szCs w:val="22"/>
        </w:rPr>
      </w:pPr>
      <w:r w:rsidRPr="00702095">
        <w:rPr>
          <w:color w:val="212121"/>
          <w:sz w:val="22"/>
          <w:szCs w:val="22"/>
        </w:rPr>
        <w:t xml:space="preserve">Según lo dispuesto por la Res..JG 539/18 de la FACPCE y su aprobación por parte del Consejo Profesional de Ciencias Económicas de Jujuy mediante Res. CD 38/18, </w:t>
      </w:r>
      <w:r w:rsidRPr="00702095">
        <w:rPr>
          <w:sz w:val="22"/>
          <w:szCs w:val="22"/>
        </w:rPr>
        <w:t>a partir del 1</w:t>
      </w:r>
      <w:r w:rsidRPr="00702095">
        <w:rPr>
          <w:position w:val="8"/>
          <w:sz w:val="22"/>
          <w:szCs w:val="22"/>
        </w:rPr>
        <w:t xml:space="preserve">o </w:t>
      </w:r>
      <w:r w:rsidRPr="00702095">
        <w:rPr>
          <w:sz w:val="22"/>
          <w:szCs w:val="22"/>
        </w:rPr>
        <w:t xml:space="preserve">de julio de 2018, existe un contexto inflacionario en la economía argentina en los términos establecidos por la </w:t>
      </w:r>
      <w:r w:rsidRPr="00702095">
        <w:rPr>
          <w:color w:val="FF0000"/>
          <w:sz w:val="22"/>
          <w:szCs w:val="22"/>
        </w:rPr>
        <w:t>sección 3.1 de la Resolución Técnica N° 17 o de la sección 2.6 de RT 41 segunda o tercera parte (la que corresponda)</w:t>
      </w:r>
      <w:r w:rsidRPr="00702095">
        <w:rPr>
          <w:sz w:val="22"/>
          <w:szCs w:val="22"/>
        </w:rPr>
        <w:t xml:space="preserve"> y, en consecuencia, debe aplicarse la RT N° 6 para la preparación de los estados contables correspondientes a cierres de ejercicios o períodos ocurridos a partir de esa fecha, reconociendo en ellos los efectos de los cambios en el poder adquisitivo de la moneda.</w:t>
      </w:r>
    </w:p>
    <w:p w:rsidR="00702095" w:rsidRPr="00702095" w:rsidRDefault="00702095" w:rsidP="00702095">
      <w:pPr>
        <w:pStyle w:val="Textoindependiente"/>
        <w:spacing w:before="155" w:line="276" w:lineRule="auto"/>
        <w:ind w:right="116"/>
        <w:rPr>
          <w:sz w:val="22"/>
          <w:szCs w:val="22"/>
        </w:rPr>
      </w:pPr>
      <w:r w:rsidRPr="00702095">
        <w:rPr>
          <w:sz w:val="22"/>
          <w:szCs w:val="22"/>
        </w:rPr>
        <w:t xml:space="preserve">Atento a que la reanudación del ajuste por inflación reflejará el efecto de los cambios en el poder adquisitivo de la moneda, ocurridos desde el momento en que se interrumpió el ajuste, de conformidad a lo informado en nuestra Nota N° </w:t>
      </w:r>
      <w:r w:rsidRPr="00702095">
        <w:rPr>
          <w:color w:val="FF0000"/>
          <w:sz w:val="22"/>
          <w:szCs w:val="22"/>
        </w:rPr>
        <w:t>XX</w:t>
      </w:r>
      <w:r w:rsidRPr="00702095">
        <w:rPr>
          <w:sz w:val="22"/>
          <w:szCs w:val="22"/>
        </w:rPr>
        <w:t>, se prevé que su efecto en los activos, el patrimonio y el resultado del ejercicio será significativo.</w:t>
      </w:r>
    </w:p>
    <w:p w:rsidR="00702095" w:rsidRPr="00702095" w:rsidRDefault="00702095" w:rsidP="00702095">
      <w:pPr>
        <w:pStyle w:val="Textoindependiente"/>
        <w:spacing w:line="276" w:lineRule="auto"/>
        <w:ind w:right="117"/>
        <w:rPr>
          <w:sz w:val="22"/>
          <w:szCs w:val="22"/>
        </w:rPr>
      </w:pPr>
      <w:r w:rsidRPr="00702095">
        <w:rPr>
          <w:sz w:val="22"/>
          <w:szCs w:val="22"/>
        </w:rPr>
        <w:t>Por ello, la entidad ha comenzado a trabajar en modificar sus procesos y sistemas para poder generar información contable de conformidad a las  normas previstas en la RT N°</w:t>
      </w:r>
      <w:r w:rsidRPr="00702095">
        <w:rPr>
          <w:spacing w:val="-2"/>
          <w:sz w:val="22"/>
          <w:szCs w:val="22"/>
        </w:rPr>
        <w:t xml:space="preserve"> </w:t>
      </w:r>
      <w:r w:rsidRPr="00702095">
        <w:rPr>
          <w:sz w:val="22"/>
          <w:szCs w:val="22"/>
        </w:rPr>
        <w:t>6.</w:t>
      </w:r>
    </w:p>
    <w:p w:rsidR="00702095" w:rsidRPr="00702095" w:rsidRDefault="00702095" w:rsidP="00702095">
      <w:pPr>
        <w:pStyle w:val="Textoindependiente"/>
        <w:spacing w:before="159" w:line="276" w:lineRule="auto"/>
        <w:ind w:right="117"/>
        <w:rPr>
          <w:sz w:val="22"/>
          <w:szCs w:val="22"/>
        </w:rPr>
      </w:pPr>
      <w:r w:rsidRPr="00702095">
        <w:rPr>
          <w:sz w:val="22"/>
          <w:szCs w:val="22"/>
        </w:rPr>
        <w:t>Los presentes estados contables deben ser leídos e interpretados, en conocimiento de esta circunstancia.</w:t>
      </w: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Pr="00702095" w:rsidRDefault="00702095" w:rsidP="00702095">
      <w:pPr>
        <w:pStyle w:val="Textoindependiente"/>
        <w:spacing w:before="0"/>
        <w:ind w:left="0"/>
        <w:jc w:val="left"/>
        <w:rPr>
          <w:sz w:val="22"/>
          <w:szCs w:val="22"/>
        </w:rPr>
      </w:pPr>
    </w:p>
    <w:p w:rsidR="00702095" w:rsidRDefault="00702095" w:rsidP="00702095">
      <w:pPr>
        <w:pStyle w:val="Textoindependiente"/>
        <w:spacing w:before="0"/>
        <w:ind w:left="0"/>
        <w:jc w:val="left"/>
        <w:rPr>
          <w:sz w:val="22"/>
          <w:szCs w:val="22"/>
        </w:rPr>
      </w:pPr>
    </w:p>
    <w:p w:rsidR="00702095" w:rsidRDefault="00702095" w:rsidP="00702095">
      <w:pPr>
        <w:pStyle w:val="Textoindependiente"/>
        <w:spacing w:before="0"/>
        <w:ind w:left="0"/>
        <w:jc w:val="left"/>
        <w:rPr>
          <w:sz w:val="22"/>
          <w:szCs w:val="22"/>
        </w:rPr>
      </w:pPr>
    </w:p>
    <w:p w:rsidR="00702095" w:rsidRDefault="00702095" w:rsidP="00702095">
      <w:pPr>
        <w:pStyle w:val="Textoindependiente"/>
        <w:spacing w:before="0"/>
        <w:ind w:left="0"/>
        <w:jc w:val="left"/>
        <w:rPr>
          <w:sz w:val="22"/>
          <w:szCs w:val="22"/>
        </w:rPr>
      </w:pPr>
    </w:p>
    <w:p w:rsidR="00BD0DE4" w:rsidRPr="00702095" w:rsidRDefault="00BD0DE4" w:rsidP="00702095">
      <w:pPr>
        <w:tabs>
          <w:tab w:val="left" w:pos="462"/>
        </w:tabs>
        <w:spacing w:line="276" w:lineRule="auto"/>
      </w:pPr>
    </w:p>
    <w:sectPr w:rsidR="00BD0DE4" w:rsidRPr="00702095" w:rsidSect="00BD0DE4">
      <w:headerReference w:type="default" r:id="rId7"/>
      <w:footerReference w:type="default" r:id="rId8"/>
      <w:pgSz w:w="11910" w:h="16840"/>
      <w:pgMar w:top="1320" w:right="1580" w:bottom="920" w:left="1600" w:header="753" w:footer="7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14" w:rsidRDefault="002D0114" w:rsidP="00BD0DE4">
      <w:r>
        <w:separator/>
      </w:r>
    </w:p>
  </w:endnote>
  <w:endnote w:type="continuationSeparator" w:id="1">
    <w:p w:rsidR="002D0114" w:rsidRDefault="002D0114" w:rsidP="00BD0D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D0" w:rsidRPr="00B02C35" w:rsidRDefault="004F74D0" w:rsidP="004F74D0">
    <w:pPr>
      <w:pStyle w:val="Piedepgina"/>
      <w:pBdr>
        <w:top w:val="single" w:sz="4" w:space="1" w:color="auto"/>
      </w:pBdr>
      <w:rPr>
        <w:color w:val="A6A6A6"/>
        <w:lang w:val="es-AR"/>
      </w:rPr>
    </w:pPr>
    <w:r>
      <w:rPr>
        <w:b/>
        <w:bCs/>
        <w:color w:val="A6A6A6"/>
        <w:sz w:val="20"/>
        <w:szCs w:val="20"/>
        <w:lang w:val="es-AR"/>
      </w:rPr>
      <w:t>Secretaria Técnica – CPCE Jujuy</w:t>
    </w:r>
  </w:p>
  <w:p w:rsidR="00BD0DE4" w:rsidRDefault="00BD0DE4">
    <w:pPr>
      <w:pStyle w:val="Textoindependiente"/>
      <w:spacing w:before="0"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14" w:rsidRDefault="002D0114" w:rsidP="00BD0DE4">
      <w:r>
        <w:separator/>
      </w:r>
    </w:p>
  </w:footnote>
  <w:footnote w:type="continuationSeparator" w:id="1">
    <w:p w:rsidR="002D0114" w:rsidRDefault="002D0114" w:rsidP="00BD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E4" w:rsidRDefault="00BD0DE4">
    <w:pPr>
      <w:pStyle w:val="Textoindependiente"/>
      <w:spacing w:before="0"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81C5B"/>
    <w:multiLevelType w:val="hybridMultilevel"/>
    <w:tmpl w:val="0C9AB5EA"/>
    <w:lvl w:ilvl="0" w:tplc="5E3C8DFA">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4184B36A">
      <w:numFmt w:val="bullet"/>
      <w:lvlText w:val="•"/>
      <w:lvlJc w:val="left"/>
      <w:pPr>
        <w:ind w:left="962" w:hanging="282"/>
      </w:pPr>
      <w:rPr>
        <w:rFonts w:hint="default"/>
        <w:lang w:val="es-ES" w:eastAsia="es-ES" w:bidi="es-ES"/>
      </w:rPr>
    </w:lvl>
    <w:lvl w:ilvl="2" w:tplc="88C42ADE">
      <w:numFmt w:val="bullet"/>
      <w:lvlText w:val="•"/>
      <w:lvlJc w:val="left"/>
      <w:pPr>
        <w:ind w:left="1824" w:hanging="282"/>
      </w:pPr>
      <w:rPr>
        <w:rFonts w:hint="default"/>
        <w:lang w:val="es-ES" w:eastAsia="es-ES" w:bidi="es-ES"/>
      </w:rPr>
    </w:lvl>
    <w:lvl w:ilvl="3" w:tplc="D4FA3C04">
      <w:numFmt w:val="bullet"/>
      <w:lvlText w:val="•"/>
      <w:lvlJc w:val="left"/>
      <w:pPr>
        <w:ind w:left="2687" w:hanging="282"/>
      </w:pPr>
      <w:rPr>
        <w:rFonts w:hint="default"/>
        <w:lang w:val="es-ES" w:eastAsia="es-ES" w:bidi="es-ES"/>
      </w:rPr>
    </w:lvl>
    <w:lvl w:ilvl="4" w:tplc="C58AEBF6">
      <w:numFmt w:val="bullet"/>
      <w:lvlText w:val="•"/>
      <w:lvlJc w:val="left"/>
      <w:pPr>
        <w:ind w:left="3549" w:hanging="282"/>
      </w:pPr>
      <w:rPr>
        <w:rFonts w:hint="default"/>
        <w:lang w:val="es-ES" w:eastAsia="es-ES" w:bidi="es-ES"/>
      </w:rPr>
    </w:lvl>
    <w:lvl w:ilvl="5" w:tplc="EAC4F3CE">
      <w:numFmt w:val="bullet"/>
      <w:lvlText w:val="•"/>
      <w:lvlJc w:val="left"/>
      <w:pPr>
        <w:ind w:left="4412" w:hanging="282"/>
      </w:pPr>
      <w:rPr>
        <w:rFonts w:hint="default"/>
        <w:lang w:val="es-ES" w:eastAsia="es-ES" w:bidi="es-ES"/>
      </w:rPr>
    </w:lvl>
    <w:lvl w:ilvl="6" w:tplc="D1647A70">
      <w:numFmt w:val="bullet"/>
      <w:lvlText w:val="•"/>
      <w:lvlJc w:val="left"/>
      <w:pPr>
        <w:ind w:left="5274" w:hanging="282"/>
      </w:pPr>
      <w:rPr>
        <w:rFonts w:hint="default"/>
        <w:lang w:val="es-ES" w:eastAsia="es-ES" w:bidi="es-ES"/>
      </w:rPr>
    </w:lvl>
    <w:lvl w:ilvl="7" w:tplc="C032C000">
      <w:numFmt w:val="bullet"/>
      <w:lvlText w:val="•"/>
      <w:lvlJc w:val="left"/>
      <w:pPr>
        <w:ind w:left="6137" w:hanging="282"/>
      </w:pPr>
      <w:rPr>
        <w:rFonts w:hint="default"/>
        <w:lang w:val="es-ES" w:eastAsia="es-ES" w:bidi="es-ES"/>
      </w:rPr>
    </w:lvl>
    <w:lvl w:ilvl="8" w:tplc="369C8A28">
      <w:numFmt w:val="bullet"/>
      <w:lvlText w:val="•"/>
      <w:lvlJc w:val="left"/>
      <w:pPr>
        <w:ind w:left="6999" w:hanging="282"/>
      </w:pPr>
      <w:rPr>
        <w:rFonts w:hint="default"/>
        <w:lang w:val="es-ES" w:eastAsia="es-ES" w:bidi="es-ES"/>
      </w:rPr>
    </w:lvl>
  </w:abstractNum>
  <w:abstractNum w:abstractNumId="1">
    <w:nsid w:val="3C3E5A1F"/>
    <w:multiLevelType w:val="hybridMultilevel"/>
    <w:tmpl w:val="2C88A9AA"/>
    <w:lvl w:ilvl="0" w:tplc="78DADE3A">
      <w:start w:val="1"/>
      <w:numFmt w:val="decimal"/>
      <w:lvlText w:val="%1."/>
      <w:lvlJc w:val="left"/>
      <w:pPr>
        <w:ind w:left="368" w:hanging="268"/>
        <w:jc w:val="left"/>
      </w:pPr>
      <w:rPr>
        <w:rFonts w:ascii="Arial" w:eastAsia="Arial" w:hAnsi="Arial" w:cs="Arial" w:hint="default"/>
        <w:b/>
        <w:bCs/>
        <w:color w:val="212121"/>
        <w:w w:val="100"/>
        <w:sz w:val="24"/>
        <w:szCs w:val="24"/>
        <w:lang w:val="es-ES" w:eastAsia="es-ES" w:bidi="es-ES"/>
      </w:rPr>
    </w:lvl>
    <w:lvl w:ilvl="1" w:tplc="F3106DF0">
      <w:numFmt w:val="bullet"/>
      <w:lvlText w:val="•"/>
      <w:lvlJc w:val="left"/>
      <w:pPr>
        <w:ind w:left="1196" w:hanging="268"/>
      </w:pPr>
      <w:rPr>
        <w:rFonts w:hint="default"/>
        <w:lang w:val="es-ES" w:eastAsia="es-ES" w:bidi="es-ES"/>
      </w:rPr>
    </w:lvl>
    <w:lvl w:ilvl="2" w:tplc="0408FABC">
      <w:numFmt w:val="bullet"/>
      <w:lvlText w:val="•"/>
      <w:lvlJc w:val="left"/>
      <w:pPr>
        <w:ind w:left="2032" w:hanging="268"/>
      </w:pPr>
      <w:rPr>
        <w:rFonts w:hint="default"/>
        <w:lang w:val="es-ES" w:eastAsia="es-ES" w:bidi="es-ES"/>
      </w:rPr>
    </w:lvl>
    <w:lvl w:ilvl="3" w:tplc="8CDC36F4">
      <w:numFmt w:val="bullet"/>
      <w:lvlText w:val="•"/>
      <w:lvlJc w:val="left"/>
      <w:pPr>
        <w:ind w:left="2869" w:hanging="268"/>
      </w:pPr>
      <w:rPr>
        <w:rFonts w:hint="default"/>
        <w:lang w:val="es-ES" w:eastAsia="es-ES" w:bidi="es-ES"/>
      </w:rPr>
    </w:lvl>
    <w:lvl w:ilvl="4" w:tplc="9E0CAB8E">
      <w:numFmt w:val="bullet"/>
      <w:lvlText w:val="•"/>
      <w:lvlJc w:val="left"/>
      <w:pPr>
        <w:ind w:left="3705" w:hanging="268"/>
      </w:pPr>
      <w:rPr>
        <w:rFonts w:hint="default"/>
        <w:lang w:val="es-ES" w:eastAsia="es-ES" w:bidi="es-ES"/>
      </w:rPr>
    </w:lvl>
    <w:lvl w:ilvl="5" w:tplc="00A4CAF2">
      <w:numFmt w:val="bullet"/>
      <w:lvlText w:val="•"/>
      <w:lvlJc w:val="left"/>
      <w:pPr>
        <w:ind w:left="4542" w:hanging="268"/>
      </w:pPr>
      <w:rPr>
        <w:rFonts w:hint="default"/>
        <w:lang w:val="es-ES" w:eastAsia="es-ES" w:bidi="es-ES"/>
      </w:rPr>
    </w:lvl>
    <w:lvl w:ilvl="6" w:tplc="41AE3050">
      <w:numFmt w:val="bullet"/>
      <w:lvlText w:val="•"/>
      <w:lvlJc w:val="left"/>
      <w:pPr>
        <w:ind w:left="5378" w:hanging="268"/>
      </w:pPr>
      <w:rPr>
        <w:rFonts w:hint="default"/>
        <w:lang w:val="es-ES" w:eastAsia="es-ES" w:bidi="es-ES"/>
      </w:rPr>
    </w:lvl>
    <w:lvl w:ilvl="7" w:tplc="C9B23D90">
      <w:numFmt w:val="bullet"/>
      <w:lvlText w:val="•"/>
      <w:lvlJc w:val="left"/>
      <w:pPr>
        <w:ind w:left="6215" w:hanging="268"/>
      </w:pPr>
      <w:rPr>
        <w:rFonts w:hint="default"/>
        <w:lang w:val="es-ES" w:eastAsia="es-ES" w:bidi="es-ES"/>
      </w:rPr>
    </w:lvl>
    <w:lvl w:ilvl="8" w:tplc="29086330">
      <w:numFmt w:val="bullet"/>
      <w:lvlText w:val="•"/>
      <w:lvlJc w:val="left"/>
      <w:pPr>
        <w:ind w:left="7051" w:hanging="268"/>
      </w:pPr>
      <w:rPr>
        <w:rFonts w:hint="default"/>
        <w:lang w:val="es-ES" w:eastAsia="es-ES" w:bidi="es-ES"/>
      </w:rPr>
    </w:lvl>
  </w:abstractNum>
  <w:abstractNum w:abstractNumId="2">
    <w:nsid w:val="4C367F0F"/>
    <w:multiLevelType w:val="hybridMultilevel"/>
    <w:tmpl w:val="84C85358"/>
    <w:lvl w:ilvl="0" w:tplc="EC4EEF94">
      <w:start w:val="1"/>
      <w:numFmt w:val="decimal"/>
      <w:lvlText w:val="%1)"/>
      <w:lvlJc w:val="left"/>
      <w:pPr>
        <w:ind w:left="382" w:hanging="281"/>
        <w:jc w:val="left"/>
      </w:pPr>
      <w:rPr>
        <w:rFonts w:ascii="Arial" w:eastAsia="Arial" w:hAnsi="Arial" w:cs="Arial" w:hint="default"/>
        <w:spacing w:val="-1"/>
        <w:w w:val="99"/>
        <w:sz w:val="24"/>
        <w:szCs w:val="24"/>
        <w:lang w:val="es-ES" w:eastAsia="es-ES" w:bidi="es-ES"/>
      </w:rPr>
    </w:lvl>
    <w:lvl w:ilvl="1" w:tplc="8CC04758">
      <w:numFmt w:val="bullet"/>
      <w:lvlText w:val="•"/>
      <w:lvlJc w:val="left"/>
      <w:pPr>
        <w:ind w:left="1214" w:hanging="281"/>
      </w:pPr>
      <w:rPr>
        <w:rFonts w:hint="default"/>
        <w:lang w:val="es-ES" w:eastAsia="es-ES" w:bidi="es-ES"/>
      </w:rPr>
    </w:lvl>
    <w:lvl w:ilvl="2" w:tplc="7CE62B08">
      <w:numFmt w:val="bullet"/>
      <w:lvlText w:val="•"/>
      <w:lvlJc w:val="left"/>
      <w:pPr>
        <w:ind w:left="2048" w:hanging="281"/>
      </w:pPr>
      <w:rPr>
        <w:rFonts w:hint="default"/>
        <w:lang w:val="es-ES" w:eastAsia="es-ES" w:bidi="es-ES"/>
      </w:rPr>
    </w:lvl>
    <w:lvl w:ilvl="3" w:tplc="28C2E260">
      <w:numFmt w:val="bullet"/>
      <w:lvlText w:val="•"/>
      <w:lvlJc w:val="left"/>
      <w:pPr>
        <w:ind w:left="2883" w:hanging="281"/>
      </w:pPr>
      <w:rPr>
        <w:rFonts w:hint="default"/>
        <w:lang w:val="es-ES" w:eastAsia="es-ES" w:bidi="es-ES"/>
      </w:rPr>
    </w:lvl>
    <w:lvl w:ilvl="4" w:tplc="235E5148">
      <w:numFmt w:val="bullet"/>
      <w:lvlText w:val="•"/>
      <w:lvlJc w:val="left"/>
      <w:pPr>
        <w:ind w:left="3717" w:hanging="281"/>
      </w:pPr>
      <w:rPr>
        <w:rFonts w:hint="default"/>
        <w:lang w:val="es-ES" w:eastAsia="es-ES" w:bidi="es-ES"/>
      </w:rPr>
    </w:lvl>
    <w:lvl w:ilvl="5" w:tplc="BEDED034">
      <w:numFmt w:val="bullet"/>
      <w:lvlText w:val="•"/>
      <w:lvlJc w:val="left"/>
      <w:pPr>
        <w:ind w:left="4552" w:hanging="281"/>
      </w:pPr>
      <w:rPr>
        <w:rFonts w:hint="default"/>
        <w:lang w:val="es-ES" w:eastAsia="es-ES" w:bidi="es-ES"/>
      </w:rPr>
    </w:lvl>
    <w:lvl w:ilvl="6" w:tplc="ED4E6BE6">
      <w:numFmt w:val="bullet"/>
      <w:lvlText w:val="•"/>
      <w:lvlJc w:val="left"/>
      <w:pPr>
        <w:ind w:left="5386" w:hanging="281"/>
      </w:pPr>
      <w:rPr>
        <w:rFonts w:hint="default"/>
        <w:lang w:val="es-ES" w:eastAsia="es-ES" w:bidi="es-ES"/>
      </w:rPr>
    </w:lvl>
    <w:lvl w:ilvl="7" w:tplc="C1602400">
      <w:numFmt w:val="bullet"/>
      <w:lvlText w:val="•"/>
      <w:lvlJc w:val="left"/>
      <w:pPr>
        <w:ind w:left="6221" w:hanging="281"/>
      </w:pPr>
      <w:rPr>
        <w:rFonts w:hint="default"/>
        <w:lang w:val="es-ES" w:eastAsia="es-ES" w:bidi="es-ES"/>
      </w:rPr>
    </w:lvl>
    <w:lvl w:ilvl="8" w:tplc="79C4FB58">
      <w:numFmt w:val="bullet"/>
      <w:lvlText w:val="•"/>
      <w:lvlJc w:val="left"/>
      <w:pPr>
        <w:ind w:left="7055" w:hanging="281"/>
      </w:pPr>
      <w:rPr>
        <w:rFonts w:hint="default"/>
        <w:lang w:val="es-ES" w:eastAsia="es-ES" w:bidi="es-ES"/>
      </w:rPr>
    </w:lvl>
  </w:abstractNum>
  <w:abstractNum w:abstractNumId="3">
    <w:nsid w:val="50673577"/>
    <w:multiLevelType w:val="hybridMultilevel"/>
    <w:tmpl w:val="255E0334"/>
    <w:lvl w:ilvl="0" w:tplc="222A073C">
      <w:start w:val="1"/>
      <w:numFmt w:val="lowerLetter"/>
      <w:lvlText w:val="%1)"/>
      <w:lvlJc w:val="left"/>
      <w:pPr>
        <w:ind w:left="461" w:hanging="360"/>
        <w:jc w:val="left"/>
      </w:pPr>
      <w:rPr>
        <w:rFonts w:ascii="Arial" w:eastAsia="Arial" w:hAnsi="Arial" w:cs="Arial" w:hint="default"/>
        <w:spacing w:val="-1"/>
        <w:w w:val="99"/>
        <w:sz w:val="24"/>
        <w:szCs w:val="24"/>
        <w:lang w:val="es-ES" w:eastAsia="es-ES" w:bidi="es-ES"/>
      </w:rPr>
    </w:lvl>
    <w:lvl w:ilvl="1" w:tplc="F8CEACB2">
      <w:numFmt w:val="bullet"/>
      <w:lvlText w:val="•"/>
      <w:lvlJc w:val="left"/>
      <w:pPr>
        <w:ind w:left="1286" w:hanging="360"/>
      </w:pPr>
      <w:rPr>
        <w:rFonts w:hint="default"/>
        <w:lang w:val="es-ES" w:eastAsia="es-ES" w:bidi="es-ES"/>
      </w:rPr>
    </w:lvl>
    <w:lvl w:ilvl="2" w:tplc="B3147BDC">
      <w:numFmt w:val="bullet"/>
      <w:lvlText w:val="•"/>
      <w:lvlJc w:val="left"/>
      <w:pPr>
        <w:ind w:left="2112" w:hanging="360"/>
      </w:pPr>
      <w:rPr>
        <w:rFonts w:hint="default"/>
        <w:lang w:val="es-ES" w:eastAsia="es-ES" w:bidi="es-ES"/>
      </w:rPr>
    </w:lvl>
    <w:lvl w:ilvl="3" w:tplc="3C62F8F2">
      <w:numFmt w:val="bullet"/>
      <w:lvlText w:val="•"/>
      <w:lvlJc w:val="left"/>
      <w:pPr>
        <w:ind w:left="2939" w:hanging="360"/>
      </w:pPr>
      <w:rPr>
        <w:rFonts w:hint="default"/>
        <w:lang w:val="es-ES" w:eastAsia="es-ES" w:bidi="es-ES"/>
      </w:rPr>
    </w:lvl>
    <w:lvl w:ilvl="4" w:tplc="F2C63C06">
      <w:numFmt w:val="bullet"/>
      <w:lvlText w:val="•"/>
      <w:lvlJc w:val="left"/>
      <w:pPr>
        <w:ind w:left="3765" w:hanging="360"/>
      </w:pPr>
      <w:rPr>
        <w:rFonts w:hint="default"/>
        <w:lang w:val="es-ES" w:eastAsia="es-ES" w:bidi="es-ES"/>
      </w:rPr>
    </w:lvl>
    <w:lvl w:ilvl="5" w:tplc="3FE0D0D0">
      <w:numFmt w:val="bullet"/>
      <w:lvlText w:val="•"/>
      <w:lvlJc w:val="left"/>
      <w:pPr>
        <w:ind w:left="4592" w:hanging="360"/>
      </w:pPr>
      <w:rPr>
        <w:rFonts w:hint="default"/>
        <w:lang w:val="es-ES" w:eastAsia="es-ES" w:bidi="es-ES"/>
      </w:rPr>
    </w:lvl>
    <w:lvl w:ilvl="6" w:tplc="5C5EFBA2">
      <w:numFmt w:val="bullet"/>
      <w:lvlText w:val="•"/>
      <w:lvlJc w:val="left"/>
      <w:pPr>
        <w:ind w:left="5418" w:hanging="360"/>
      </w:pPr>
      <w:rPr>
        <w:rFonts w:hint="default"/>
        <w:lang w:val="es-ES" w:eastAsia="es-ES" w:bidi="es-ES"/>
      </w:rPr>
    </w:lvl>
    <w:lvl w:ilvl="7" w:tplc="2E98F3B6">
      <w:numFmt w:val="bullet"/>
      <w:lvlText w:val="•"/>
      <w:lvlJc w:val="left"/>
      <w:pPr>
        <w:ind w:left="6245" w:hanging="360"/>
      </w:pPr>
      <w:rPr>
        <w:rFonts w:hint="default"/>
        <w:lang w:val="es-ES" w:eastAsia="es-ES" w:bidi="es-ES"/>
      </w:rPr>
    </w:lvl>
    <w:lvl w:ilvl="8" w:tplc="156068DE">
      <w:numFmt w:val="bullet"/>
      <w:lvlText w:val="•"/>
      <w:lvlJc w:val="left"/>
      <w:pPr>
        <w:ind w:left="7071" w:hanging="360"/>
      </w:pPr>
      <w:rPr>
        <w:rFonts w:hint="default"/>
        <w:lang w:val="es-ES" w:eastAsia="es-ES" w:bidi="es-ES"/>
      </w:rPr>
    </w:lvl>
  </w:abstractNum>
  <w:abstractNum w:abstractNumId="4">
    <w:nsid w:val="55D63BFD"/>
    <w:multiLevelType w:val="hybridMultilevel"/>
    <w:tmpl w:val="2D8E0A88"/>
    <w:lvl w:ilvl="0" w:tplc="61CE9EC2">
      <w:start w:val="1"/>
      <w:numFmt w:val="decimal"/>
      <w:lvlText w:val="%1."/>
      <w:lvlJc w:val="left"/>
      <w:pPr>
        <w:ind w:left="368" w:hanging="267"/>
        <w:jc w:val="left"/>
      </w:pPr>
      <w:rPr>
        <w:rFonts w:ascii="Arial" w:eastAsia="Arial" w:hAnsi="Arial" w:cs="Arial" w:hint="default"/>
        <w:b/>
        <w:bCs/>
        <w:color w:val="212121"/>
        <w:w w:val="100"/>
        <w:sz w:val="24"/>
        <w:szCs w:val="24"/>
        <w:lang w:val="es-ES" w:eastAsia="es-ES" w:bidi="es-ES"/>
      </w:rPr>
    </w:lvl>
    <w:lvl w:ilvl="1" w:tplc="EDEE5798">
      <w:numFmt w:val="bullet"/>
      <w:lvlText w:val="•"/>
      <w:lvlJc w:val="left"/>
      <w:pPr>
        <w:ind w:left="1196" w:hanging="267"/>
      </w:pPr>
      <w:rPr>
        <w:rFonts w:hint="default"/>
        <w:lang w:val="es-ES" w:eastAsia="es-ES" w:bidi="es-ES"/>
      </w:rPr>
    </w:lvl>
    <w:lvl w:ilvl="2" w:tplc="D3E23D20">
      <w:numFmt w:val="bullet"/>
      <w:lvlText w:val="•"/>
      <w:lvlJc w:val="left"/>
      <w:pPr>
        <w:ind w:left="2032" w:hanging="267"/>
      </w:pPr>
      <w:rPr>
        <w:rFonts w:hint="default"/>
        <w:lang w:val="es-ES" w:eastAsia="es-ES" w:bidi="es-ES"/>
      </w:rPr>
    </w:lvl>
    <w:lvl w:ilvl="3" w:tplc="60922EB8">
      <w:numFmt w:val="bullet"/>
      <w:lvlText w:val="•"/>
      <w:lvlJc w:val="left"/>
      <w:pPr>
        <w:ind w:left="2869" w:hanging="267"/>
      </w:pPr>
      <w:rPr>
        <w:rFonts w:hint="default"/>
        <w:lang w:val="es-ES" w:eastAsia="es-ES" w:bidi="es-ES"/>
      </w:rPr>
    </w:lvl>
    <w:lvl w:ilvl="4" w:tplc="A95A7BC4">
      <w:numFmt w:val="bullet"/>
      <w:lvlText w:val="•"/>
      <w:lvlJc w:val="left"/>
      <w:pPr>
        <w:ind w:left="3705" w:hanging="267"/>
      </w:pPr>
      <w:rPr>
        <w:rFonts w:hint="default"/>
        <w:lang w:val="es-ES" w:eastAsia="es-ES" w:bidi="es-ES"/>
      </w:rPr>
    </w:lvl>
    <w:lvl w:ilvl="5" w:tplc="9D66CD02">
      <w:numFmt w:val="bullet"/>
      <w:lvlText w:val="•"/>
      <w:lvlJc w:val="left"/>
      <w:pPr>
        <w:ind w:left="4542" w:hanging="267"/>
      </w:pPr>
      <w:rPr>
        <w:rFonts w:hint="default"/>
        <w:lang w:val="es-ES" w:eastAsia="es-ES" w:bidi="es-ES"/>
      </w:rPr>
    </w:lvl>
    <w:lvl w:ilvl="6" w:tplc="4D68E7DC">
      <w:numFmt w:val="bullet"/>
      <w:lvlText w:val="•"/>
      <w:lvlJc w:val="left"/>
      <w:pPr>
        <w:ind w:left="5378" w:hanging="267"/>
      </w:pPr>
      <w:rPr>
        <w:rFonts w:hint="default"/>
        <w:lang w:val="es-ES" w:eastAsia="es-ES" w:bidi="es-ES"/>
      </w:rPr>
    </w:lvl>
    <w:lvl w:ilvl="7" w:tplc="646C1A0C">
      <w:numFmt w:val="bullet"/>
      <w:lvlText w:val="•"/>
      <w:lvlJc w:val="left"/>
      <w:pPr>
        <w:ind w:left="6215" w:hanging="267"/>
      </w:pPr>
      <w:rPr>
        <w:rFonts w:hint="default"/>
        <w:lang w:val="es-ES" w:eastAsia="es-ES" w:bidi="es-ES"/>
      </w:rPr>
    </w:lvl>
    <w:lvl w:ilvl="8" w:tplc="A302F108">
      <w:numFmt w:val="bullet"/>
      <w:lvlText w:val="•"/>
      <w:lvlJc w:val="left"/>
      <w:pPr>
        <w:ind w:left="7051" w:hanging="267"/>
      </w:pPr>
      <w:rPr>
        <w:rFonts w:hint="default"/>
        <w:lang w:val="es-ES" w:eastAsia="es-ES" w:bidi="es-ES"/>
      </w:rPr>
    </w:lvl>
  </w:abstractNum>
  <w:abstractNum w:abstractNumId="5">
    <w:nsid w:val="65C32E56"/>
    <w:multiLevelType w:val="hybridMultilevel"/>
    <w:tmpl w:val="91561D7A"/>
    <w:lvl w:ilvl="0" w:tplc="3FE6A8F0">
      <w:start w:val="1"/>
      <w:numFmt w:val="lowerLetter"/>
      <w:lvlText w:val="%1)"/>
      <w:lvlJc w:val="left"/>
      <w:pPr>
        <w:ind w:left="101" w:hanging="338"/>
        <w:jc w:val="left"/>
      </w:pPr>
      <w:rPr>
        <w:rFonts w:ascii="Arial" w:eastAsia="Arial" w:hAnsi="Arial" w:cs="Arial" w:hint="default"/>
        <w:spacing w:val="-1"/>
        <w:w w:val="99"/>
        <w:sz w:val="24"/>
        <w:szCs w:val="24"/>
        <w:lang w:val="es-ES" w:eastAsia="es-ES" w:bidi="es-ES"/>
      </w:rPr>
    </w:lvl>
    <w:lvl w:ilvl="1" w:tplc="A62A3D14">
      <w:numFmt w:val="bullet"/>
      <w:lvlText w:val="•"/>
      <w:lvlJc w:val="left"/>
      <w:pPr>
        <w:ind w:left="962" w:hanging="338"/>
      </w:pPr>
      <w:rPr>
        <w:rFonts w:hint="default"/>
        <w:lang w:val="es-ES" w:eastAsia="es-ES" w:bidi="es-ES"/>
      </w:rPr>
    </w:lvl>
    <w:lvl w:ilvl="2" w:tplc="786648F2">
      <w:numFmt w:val="bullet"/>
      <w:lvlText w:val="•"/>
      <w:lvlJc w:val="left"/>
      <w:pPr>
        <w:ind w:left="1824" w:hanging="338"/>
      </w:pPr>
      <w:rPr>
        <w:rFonts w:hint="default"/>
        <w:lang w:val="es-ES" w:eastAsia="es-ES" w:bidi="es-ES"/>
      </w:rPr>
    </w:lvl>
    <w:lvl w:ilvl="3" w:tplc="D026C8FA">
      <w:numFmt w:val="bullet"/>
      <w:lvlText w:val="•"/>
      <w:lvlJc w:val="left"/>
      <w:pPr>
        <w:ind w:left="2687" w:hanging="338"/>
      </w:pPr>
      <w:rPr>
        <w:rFonts w:hint="default"/>
        <w:lang w:val="es-ES" w:eastAsia="es-ES" w:bidi="es-ES"/>
      </w:rPr>
    </w:lvl>
    <w:lvl w:ilvl="4" w:tplc="D466D6E8">
      <w:numFmt w:val="bullet"/>
      <w:lvlText w:val="•"/>
      <w:lvlJc w:val="left"/>
      <w:pPr>
        <w:ind w:left="3549" w:hanging="338"/>
      </w:pPr>
      <w:rPr>
        <w:rFonts w:hint="default"/>
        <w:lang w:val="es-ES" w:eastAsia="es-ES" w:bidi="es-ES"/>
      </w:rPr>
    </w:lvl>
    <w:lvl w:ilvl="5" w:tplc="1B3640C4">
      <w:numFmt w:val="bullet"/>
      <w:lvlText w:val="•"/>
      <w:lvlJc w:val="left"/>
      <w:pPr>
        <w:ind w:left="4412" w:hanging="338"/>
      </w:pPr>
      <w:rPr>
        <w:rFonts w:hint="default"/>
        <w:lang w:val="es-ES" w:eastAsia="es-ES" w:bidi="es-ES"/>
      </w:rPr>
    </w:lvl>
    <w:lvl w:ilvl="6" w:tplc="EF16DE70">
      <w:numFmt w:val="bullet"/>
      <w:lvlText w:val="•"/>
      <w:lvlJc w:val="left"/>
      <w:pPr>
        <w:ind w:left="5274" w:hanging="338"/>
      </w:pPr>
      <w:rPr>
        <w:rFonts w:hint="default"/>
        <w:lang w:val="es-ES" w:eastAsia="es-ES" w:bidi="es-ES"/>
      </w:rPr>
    </w:lvl>
    <w:lvl w:ilvl="7" w:tplc="33C20164">
      <w:numFmt w:val="bullet"/>
      <w:lvlText w:val="•"/>
      <w:lvlJc w:val="left"/>
      <w:pPr>
        <w:ind w:left="6137" w:hanging="338"/>
      </w:pPr>
      <w:rPr>
        <w:rFonts w:hint="default"/>
        <w:lang w:val="es-ES" w:eastAsia="es-ES" w:bidi="es-ES"/>
      </w:rPr>
    </w:lvl>
    <w:lvl w:ilvl="8" w:tplc="B7F48ED8">
      <w:numFmt w:val="bullet"/>
      <w:lvlText w:val="•"/>
      <w:lvlJc w:val="left"/>
      <w:pPr>
        <w:ind w:left="6999" w:hanging="338"/>
      </w:pPr>
      <w:rPr>
        <w:rFonts w:hint="default"/>
        <w:lang w:val="es-ES" w:eastAsia="es-ES" w:bidi="es-ES"/>
      </w:rPr>
    </w:lvl>
  </w:abstractNum>
  <w:abstractNum w:abstractNumId="6">
    <w:nsid w:val="71C145EA"/>
    <w:multiLevelType w:val="hybridMultilevel"/>
    <w:tmpl w:val="E41EF866"/>
    <w:lvl w:ilvl="0" w:tplc="216EBB62">
      <w:start w:val="1"/>
      <w:numFmt w:val="lowerLetter"/>
      <w:lvlText w:val="%1)"/>
      <w:lvlJc w:val="left"/>
      <w:pPr>
        <w:ind w:left="101" w:hanging="282"/>
        <w:jc w:val="left"/>
      </w:pPr>
      <w:rPr>
        <w:rFonts w:ascii="Arial" w:eastAsia="Arial" w:hAnsi="Arial" w:cs="Arial" w:hint="default"/>
        <w:spacing w:val="-1"/>
        <w:w w:val="99"/>
        <w:sz w:val="24"/>
        <w:szCs w:val="24"/>
        <w:lang w:val="es-ES" w:eastAsia="es-ES" w:bidi="es-ES"/>
      </w:rPr>
    </w:lvl>
    <w:lvl w:ilvl="1" w:tplc="438A9932">
      <w:numFmt w:val="bullet"/>
      <w:lvlText w:val="•"/>
      <w:lvlJc w:val="left"/>
      <w:pPr>
        <w:ind w:left="962" w:hanging="282"/>
      </w:pPr>
      <w:rPr>
        <w:rFonts w:hint="default"/>
        <w:lang w:val="es-ES" w:eastAsia="es-ES" w:bidi="es-ES"/>
      </w:rPr>
    </w:lvl>
    <w:lvl w:ilvl="2" w:tplc="B6DA6702">
      <w:numFmt w:val="bullet"/>
      <w:lvlText w:val="•"/>
      <w:lvlJc w:val="left"/>
      <w:pPr>
        <w:ind w:left="1824" w:hanging="282"/>
      </w:pPr>
      <w:rPr>
        <w:rFonts w:hint="default"/>
        <w:lang w:val="es-ES" w:eastAsia="es-ES" w:bidi="es-ES"/>
      </w:rPr>
    </w:lvl>
    <w:lvl w:ilvl="3" w:tplc="43A20196">
      <w:numFmt w:val="bullet"/>
      <w:lvlText w:val="•"/>
      <w:lvlJc w:val="left"/>
      <w:pPr>
        <w:ind w:left="2687" w:hanging="282"/>
      </w:pPr>
      <w:rPr>
        <w:rFonts w:hint="default"/>
        <w:lang w:val="es-ES" w:eastAsia="es-ES" w:bidi="es-ES"/>
      </w:rPr>
    </w:lvl>
    <w:lvl w:ilvl="4" w:tplc="15A228F4">
      <w:numFmt w:val="bullet"/>
      <w:lvlText w:val="•"/>
      <w:lvlJc w:val="left"/>
      <w:pPr>
        <w:ind w:left="3549" w:hanging="282"/>
      </w:pPr>
      <w:rPr>
        <w:rFonts w:hint="default"/>
        <w:lang w:val="es-ES" w:eastAsia="es-ES" w:bidi="es-ES"/>
      </w:rPr>
    </w:lvl>
    <w:lvl w:ilvl="5" w:tplc="5D68EB4A">
      <w:numFmt w:val="bullet"/>
      <w:lvlText w:val="•"/>
      <w:lvlJc w:val="left"/>
      <w:pPr>
        <w:ind w:left="4412" w:hanging="282"/>
      </w:pPr>
      <w:rPr>
        <w:rFonts w:hint="default"/>
        <w:lang w:val="es-ES" w:eastAsia="es-ES" w:bidi="es-ES"/>
      </w:rPr>
    </w:lvl>
    <w:lvl w:ilvl="6" w:tplc="3EC44A80">
      <w:numFmt w:val="bullet"/>
      <w:lvlText w:val="•"/>
      <w:lvlJc w:val="left"/>
      <w:pPr>
        <w:ind w:left="5274" w:hanging="282"/>
      </w:pPr>
      <w:rPr>
        <w:rFonts w:hint="default"/>
        <w:lang w:val="es-ES" w:eastAsia="es-ES" w:bidi="es-ES"/>
      </w:rPr>
    </w:lvl>
    <w:lvl w:ilvl="7" w:tplc="7F462AF0">
      <w:numFmt w:val="bullet"/>
      <w:lvlText w:val="•"/>
      <w:lvlJc w:val="left"/>
      <w:pPr>
        <w:ind w:left="6137" w:hanging="282"/>
      </w:pPr>
      <w:rPr>
        <w:rFonts w:hint="default"/>
        <w:lang w:val="es-ES" w:eastAsia="es-ES" w:bidi="es-ES"/>
      </w:rPr>
    </w:lvl>
    <w:lvl w:ilvl="8" w:tplc="93443936">
      <w:numFmt w:val="bullet"/>
      <w:lvlText w:val="•"/>
      <w:lvlJc w:val="left"/>
      <w:pPr>
        <w:ind w:left="6999" w:hanging="282"/>
      </w:pPr>
      <w:rPr>
        <w:rFonts w:hint="default"/>
        <w:lang w:val="es-ES" w:eastAsia="es-ES" w:bidi="es-ES"/>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compat>
  <w:rsids>
    <w:rsidRoot w:val="00BD0DE4"/>
    <w:rsid w:val="00240692"/>
    <w:rsid w:val="002D0114"/>
    <w:rsid w:val="004F74D0"/>
    <w:rsid w:val="00702095"/>
    <w:rsid w:val="0097563F"/>
    <w:rsid w:val="00BD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DE4"/>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D0DE4"/>
    <w:tblPr>
      <w:tblInd w:w="0" w:type="dxa"/>
      <w:tblCellMar>
        <w:top w:w="0" w:type="dxa"/>
        <w:left w:w="0" w:type="dxa"/>
        <w:bottom w:w="0" w:type="dxa"/>
        <w:right w:w="0" w:type="dxa"/>
      </w:tblCellMar>
    </w:tblPr>
  </w:style>
  <w:style w:type="paragraph" w:styleId="Textoindependiente">
    <w:name w:val="Body Text"/>
    <w:basedOn w:val="Normal"/>
    <w:uiPriority w:val="1"/>
    <w:qFormat/>
    <w:rsid w:val="00BD0DE4"/>
    <w:pPr>
      <w:spacing w:before="160"/>
      <w:ind w:left="101"/>
      <w:jc w:val="both"/>
    </w:pPr>
    <w:rPr>
      <w:sz w:val="24"/>
      <w:szCs w:val="24"/>
    </w:rPr>
  </w:style>
  <w:style w:type="paragraph" w:customStyle="1" w:styleId="Heading1">
    <w:name w:val="Heading 1"/>
    <w:basedOn w:val="Normal"/>
    <w:uiPriority w:val="1"/>
    <w:qFormat/>
    <w:rsid w:val="00BD0DE4"/>
    <w:pPr>
      <w:spacing w:before="83"/>
      <w:ind w:left="101"/>
      <w:outlineLvl w:val="1"/>
    </w:pPr>
    <w:rPr>
      <w:b/>
      <w:bCs/>
      <w:sz w:val="28"/>
      <w:szCs w:val="28"/>
    </w:rPr>
  </w:style>
  <w:style w:type="paragraph" w:customStyle="1" w:styleId="Heading2">
    <w:name w:val="Heading 2"/>
    <w:basedOn w:val="Normal"/>
    <w:uiPriority w:val="1"/>
    <w:qFormat/>
    <w:rsid w:val="00BD0DE4"/>
    <w:pPr>
      <w:spacing w:before="160"/>
      <w:ind w:left="101"/>
      <w:jc w:val="both"/>
      <w:outlineLvl w:val="2"/>
    </w:pPr>
    <w:rPr>
      <w:b/>
      <w:bCs/>
      <w:sz w:val="24"/>
      <w:szCs w:val="24"/>
    </w:rPr>
  </w:style>
  <w:style w:type="paragraph" w:styleId="Prrafodelista">
    <w:name w:val="List Paragraph"/>
    <w:basedOn w:val="Normal"/>
    <w:uiPriority w:val="1"/>
    <w:qFormat/>
    <w:rsid w:val="00BD0DE4"/>
    <w:pPr>
      <w:spacing w:before="160"/>
      <w:ind w:left="101" w:right="116"/>
      <w:jc w:val="both"/>
    </w:pPr>
  </w:style>
  <w:style w:type="paragraph" w:customStyle="1" w:styleId="TableParagraph">
    <w:name w:val="Table Paragraph"/>
    <w:basedOn w:val="Normal"/>
    <w:uiPriority w:val="1"/>
    <w:qFormat/>
    <w:rsid w:val="00BD0DE4"/>
  </w:style>
  <w:style w:type="paragraph" w:styleId="Encabezado">
    <w:name w:val="header"/>
    <w:basedOn w:val="Normal"/>
    <w:link w:val="EncabezadoCar"/>
    <w:uiPriority w:val="99"/>
    <w:semiHidden/>
    <w:unhideWhenUsed/>
    <w:rsid w:val="0097563F"/>
    <w:pPr>
      <w:tabs>
        <w:tab w:val="center" w:pos="4252"/>
        <w:tab w:val="right" w:pos="8504"/>
      </w:tabs>
    </w:pPr>
  </w:style>
  <w:style w:type="character" w:customStyle="1" w:styleId="EncabezadoCar">
    <w:name w:val="Encabezado Car"/>
    <w:basedOn w:val="Fuentedeprrafopredeter"/>
    <w:link w:val="Encabezado"/>
    <w:uiPriority w:val="99"/>
    <w:semiHidden/>
    <w:rsid w:val="0097563F"/>
    <w:rPr>
      <w:rFonts w:ascii="Arial" w:eastAsia="Arial" w:hAnsi="Arial" w:cs="Arial"/>
      <w:lang w:val="es-ES" w:eastAsia="es-ES" w:bidi="es-ES"/>
    </w:rPr>
  </w:style>
  <w:style w:type="paragraph" w:styleId="Piedepgina">
    <w:name w:val="footer"/>
    <w:basedOn w:val="Normal"/>
    <w:link w:val="PiedepginaCar"/>
    <w:uiPriority w:val="99"/>
    <w:unhideWhenUsed/>
    <w:rsid w:val="0097563F"/>
    <w:pPr>
      <w:tabs>
        <w:tab w:val="center" w:pos="4252"/>
        <w:tab w:val="right" w:pos="8504"/>
      </w:tabs>
    </w:pPr>
  </w:style>
  <w:style w:type="character" w:customStyle="1" w:styleId="PiedepginaCar">
    <w:name w:val="Pie de página Car"/>
    <w:basedOn w:val="Fuentedeprrafopredeter"/>
    <w:link w:val="Piedepgina"/>
    <w:uiPriority w:val="99"/>
    <w:rsid w:val="0097563F"/>
    <w:rPr>
      <w:rFonts w:ascii="Arial" w:eastAsia="Arial" w:hAnsi="Arial" w:cs="Arial"/>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Microsoft Word - Modelos de notas Resolución 539-18 Primera parte Publicacion</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Modelos de notas Resolución 539-18 Primera parte Publicacion</dc:title>
  <dc:creator>hp</dc:creator>
  <cp:lastModifiedBy>TOSHIBA</cp:lastModifiedBy>
  <cp:revision>4</cp:revision>
  <dcterms:created xsi:type="dcterms:W3CDTF">2018-12-27T20:33:00Z</dcterms:created>
  <dcterms:modified xsi:type="dcterms:W3CDTF">2018-12-27T21:03:00Z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PScript5.dll Version 5.2.2</vt:lpwstr>
  </property>
  <property fmtid="{D5CDD505-2E9C-101B-9397-08002B2CF9AE}" pid="4" name="LastSaved">
    <vt:filetime>2018-12-21T00:00:00Z</vt:filetime>
  </property>
</Properties>
</file>