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69" w:rsidRPr="00CB5DFD" w:rsidRDefault="00694B92">
      <w:pPr>
        <w:spacing w:before="196" w:line="283" w:lineRule="auto"/>
        <w:ind w:left="396" w:right="504"/>
        <w:rPr>
          <w:b/>
          <w:lang w:val="es-AR"/>
        </w:rPr>
      </w:pPr>
      <w:r w:rsidRPr="00CB5DFD">
        <w:rPr>
          <w:b/>
          <w:color w:val="212121"/>
          <w:lang w:val="es-AR"/>
        </w:rPr>
        <w:t>Modelo de Nota para ejercicios que cierren a partir del 1-7-2018 y donde se aplicó el ajuste por inflación. Simplificaciones utilizadas.</w:t>
      </w:r>
    </w:p>
    <w:p w:rsidR="00A93069" w:rsidRDefault="00694B92">
      <w:pPr>
        <w:pStyle w:val="Textoindependiente"/>
        <w:spacing w:before="150" w:line="285" w:lineRule="auto"/>
        <w:ind w:left="396" w:right="504"/>
      </w:pPr>
      <w:r w:rsidRPr="00CB5DFD">
        <w:rPr>
          <w:color w:val="212121"/>
          <w:lang w:val="es-AR"/>
        </w:rPr>
        <w:t xml:space="preserve">La empresa aplicó el ajuste por inflación de la RT 6, con algunas opciones admitidas por la Res. </w:t>
      </w:r>
      <w:r>
        <w:rPr>
          <w:color w:val="212121"/>
        </w:rPr>
        <w:t>JG 539-18.</w:t>
      </w:r>
    </w:p>
    <w:p w:rsidR="00A93069" w:rsidRPr="003B1ECE" w:rsidRDefault="00694B92">
      <w:pPr>
        <w:pStyle w:val="Textoindependiente"/>
        <w:spacing w:before="144"/>
        <w:ind w:left="396"/>
        <w:rPr>
          <w:lang w:val="es-ES"/>
        </w:rPr>
      </w:pPr>
      <w:r w:rsidRPr="003B1ECE">
        <w:rPr>
          <w:color w:val="212121"/>
          <w:lang w:val="es-ES"/>
        </w:rPr>
        <w:t xml:space="preserve">Las </w:t>
      </w:r>
      <w:r w:rsidRPr="00CB5DFD">
        <w:rPr>
          <w:color w:val="212121"/>
          <w:lang w:val="es-AR"/>
        </w:rPr>
        <w:t>opciones</w:t>
      </w:r>
      <w:r w:rsidR="003B1ECE">
        <w:rPr>
          <w:color w:val="212121"/>
          <w:lang w:val="es-AR"/>
        </w:rPr>
        <w:t xml:space="preserve"> </w:t>
      </w:r>
      <w:r w:rsidRPr="00CB5DFD">
        <w:rPr>
          <w:color w:val="212121"/>
          <w:lang w:val="es-AR"/>
        </w:rPr>
        <w:t>utilizadas</w:t>
      </w:r>
      <w:r w:rsidRPr="003B1ECE">
        <w:rPr>
          <w:color w:val="212121"/>
          <w:lang w:val="es-ES"/>
        </w:rPr>
        <w:t xml:space="preserve"> se </w:t>
      </w:r>
      <w:r w:rsidRPr="00CB5DFD">
        <w:rPr>
          <w:color w:val="212121"/>
          <w:lang w:val="es-AR"/>
        </w:rPr>
        <w:t>indican</w:t>
      </w:r>
      <w:r w:rsidRPr="003B1ECE">
        <w:rPr>
          <w:color w:val="212121"/>
          <w:lang w:val="es-ES"/>
        </w:rPr>
        <w:t xml:space="preserve"> a </w:t>
      </w:r>
      <w:r w:rsidRPr="00CB5DFD">
        <w:rPr>
          <w:color w:val="212121"/>
          <w:lang w:val="es-AR"/>
        </w:rPr>
        <w:t>continuación</w:t>
      </w:r>
      <w:r w:rsidRPr="003B1ECE">
        <w:rPr>
          <w:color w:val="212121"/>
          <w:lang w:val="es-ES"/>
        </w:rPr>
        <w:t>:</w:t>
      </w:r>
    </w:p>
    <w:p w:rsidR="00A93069" w:rsidRPr="003B1ECE" w:rsidRDefault="00A93069">
      <w:pPr>
        <w:pStyle w:val="Textoindependiente"/>
        <w:spacing w:before="7"/>
        <w:rPr>
          <w:sz w:val="16"/>
          <w:lang w:val="es-ES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1"/>
        <w:gridCol w:w="5413"/>
        <w:gridCol w:w="1459"/>
      </w:tblGrid>
      <w:tr w:rsidR="00A93069" w:rsidRPr="00C61BEE" w:rsidTr="00C61BEE">
        <w:trPr>
          <w:trHeight w:val="738"/>
        </w:trPr>
        <w:tc>
          <w:tcPr>
            <w:tcW w:w="1161" w:type="dxa"/>
          </w:tcPr>
          <w:p w:rsidR="00A93069" w:rsidRPr="00C61BEE" w:rsidRDefault="00694B92">
            <w:pPr>
              <w:pStyle w:val="TableParagraph"/>
              <w:spacing w:before="4"/>
              <w:ind w:left="102"/>
              <w:rPr>
                <w:sz w:val="20"/>
                <w:szCs w:val="20"/>
              </w:rPr>
            </w:pPr>
            <w:r w:rsidRPr="00C61BEE">
              <w:rPr>
                <w:color w:val="212121"/>
                <w:sz w:val="20"/>
                <w:szCs w:val="20"/>
              </w:rPr>
              <w:t>Utilizada</w:t>
            </w:r>
            <w:r w:rsidRPr="00C61BEE">
              <w:rPr>
                <w:color w:val="212121"/>
                <w:position w:val="6"/>
                <w:sz w:val="20"/>
                <w:szCs w:val="20"/>
              </w:rPr>
              <w:t>1</w:t>
            </w:r>
          </w:p>
        </w:tc>
        <w:tc>
          <w:tcPr>
            <w:tcW w:w="5413" w:type="dxa"/>
          </w:tcPr>
          <w:p w:rsidR="00A93069" w:rsidRPr="00C61BEE" w:rsidRDefault="00694B92">
            <w:pPr>
              <w:pStyle w:val="TableParagraph"/>
              <w:spacing w:before="4"/>
              <w:ind w:left="100"/>
              <w:rPr>
                <w:sz w:val="20"/>
                <w:szCs w:val="20"/>
              </w:rPr>
            </w:pPr>
            <w:r w:rsidRPr="00C61BEE">
              <w:rPr>
                <w:color w:val="212121"/>
                <w:sz w:val="20"/>
                <w:szCs w:val="20"/>
              </w:rPr>
              <w:t>Opción</w:t>
            </w:r>
          </w:p>
        </w:tc>
        <w:tc>
          <w:tcPr>
            <w:tcW w:w="1459" w:type="dxa"/>
          </w:tcPr>
          <w:p w:rsidR="00A93069" w:rsidRPr="00C61BEE" w:rsidRDefault="00694B92">
            <w:pPr>
              <w:pStyle w:val="TableParagraph"/>
              <w:spacing w:before="4" w:line="285" w:lineRule="auto"/>
              <w:ind w:left="102" w:right="170"/>
              <w:rPr>
                <w:sz w:val="20"/>
                <w:szCs w:val="20"/>
              </w:rPr>
            </w:pPr>
            <w:r w:rsidRPr="00C61BEE">
              <w:rPr>
                <w:color w:val="212121"/>
                <w:sz w:val="20"/>
                <w:szCs w:val="20"/>
              </w:rPr>
              <w:t>Sección Res 539-18</w:t>
            </w:r>
          </w:p>
        </w:tc>
      </w:tr>
      <w:tr w:rsidR="00A93069" w:rsidRPr="00C61BEE" w:rsidTr="003B1ECE">
        <w:trPr>
          <w:trHeight w:val="806"/>
        </w:trPr>
        <w:tc>
          <w:tcPr>
            <w:tcW w:w="1161" w:type="dxa"/>
          </w:tcPr>
          <w:p w:rsidR="00A93069" w:rsidRPr="00C61BEE" w:rsidRDefault="00A9306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13" w:type="dxa"/>
          </w:tcPr>
          <w:p w:rsidR="00A93069" w:rsidRPr="00C61BEE" w:rsidRDefault="00694B92" w:rsidP="003B1ECE">
            <w:pPr>
              <w:pStyle w:val="TableParagraph"/>
              <w:spacing w:before="4"/>
              <w:ind w:left="100"/>
              <w:rPr>
                <w:sz w:val="20"/>
                <w:szCs w:val="20"/>
                <w:lang w:val="es-AR"/>
              </w:rPr>
            </w:pPr>
            <w:r w:rsidRPr="00C61BEE">
              <w:rPr>
                <w:color w:val="212121"/>
                <w:sz w:val="20"/>
                <w:szCs w:val="20"/>
                <w:lang w:val="es-AR"/>
              </w:rPr>
              <w:t>Para los estados contables que cierren entre el</w:t>
            </w:r>
            <w:r w:rsidR="003B1ECE">
              <w:rPr>
                <w:color w:val="212121"/>
                <w:sz w:val="20"/>
                <w:szCs w:val="20"/>
                <w:lang w:val="es-AR"/>
              </w:rPr>
              <w:t xml:space="preserve"> </w:t>
            </w:r>
            <w:r w:rsidRPr="00C61BEE">
              <w:rPr>
                <w:color w:val="212121"/>
                <w:sz w:val="20"/>
                <w:szCs w:val="20"/>
                <w:lang w:val="es-AR"/>
              </w:rPr>
              <w:t>1.7.18 y el 30.12.18: Se puede optar por no aplicar la RT 6 en estos estados contables y hacerlo en el siguiente</w:t>
            </w:r>
            <w:r w:rsidR="003B1ECE">
              <w:rPr>
                <w:color w:val="212121"/>
                <w:sz w:val="20"/>
                <w:szCs w:val="20"/>
                <w:lang w:val="es-AR"/>
              </w:rPr>
              <w:t xml:space="preserve"> </w:t>
            </w:r>
            <w:r w:rsidRPr="00C61BEE">
              <w:rPr>
                <w:color w:val="212121"/>
                <w:sz w:val="20"/>
                <w:szCs w:val="20"/>
                <w:lang w:val="es-AR"/>
              </w:rPr>
              <w:t>ejercicio.</w:t>
            </w:r>
          </w:p>
        </w:tc>
        <w:tc>
          <w:tcPr>
            <w:tcW w:w="1459" w:type="dxa"/>
          </w:tcPr>
          <w:p w:rsidR="00A93069" w:rsidRPr="00C61BEE" w:rsidRDefault="00694B92">
            <w:pPr>
              <w:pStyle w:val="TableParagraph"/>
              <w:spacing w:before="4"/>
              <w:ind w:left="102"/>
              <w:rPr>
                <w:sz w:val="20"/>
                <w:szCs w:val="20"/>
              </w:rPr>
            </w:pPr>
            <w:r w:rsidRPr="00C61BEE">
              <w:rPr>
                <w:color w:val="212121"/>
                <w:sz w:val="20"/>
                <w:szCs w:val="20"/>
              </w:rPr>
              <w:t>Sec. 2</w:t>
            </w:r>
          </w:p>
        </w:tc>
      </w:tr>
      <w:tr w:rsidR="00A93069" w:rsidRPr="00C61BEE" w:rsidTr="00C61BEE">
        <w:trPr>
          <w:trHeight w:val="738"/>
        </w:trPr>
        <w:tc>
          <w:tcPr>
            <w:tcW w:w="1161" w:type="dxa"/>
          </w:tcPr>
          <w:p w:rsidR="00A93069" w:rsidRPr="00C61BEE" w:rsidRDefault="00A9306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13" w:type="dxa"/>
          </w:tcPr>
          <w:p w:rsidR="00A93069" w:rsidRPr="00C61BEE" w:rsidRDefault="00694B92" w:rsidP="003B1ECE">
            <w:pPr>
              <w:pStyle w:val="TableParagraph"/>
              <w:spacing w:before="7" w:line="283" w:lineRule="auto"/>
              <w:ind w:left="100"/>
              <w:rPr>
                <w:sz w:val="20"/>
                <w:szCs w:val="20"/>
                <w:lang w:val="es-AR"/>
              </w:rPr>
            </w:pPr>
            <w:r w:rsidRPr="00C61BEE">
              <w:rPr>
                <w:color w:val="212121"/>
                <w:sz w:val="20"/>
                <w:szCs w:val="20"/>
                <w:lang w:val="es-AR"/>
              </w:rPr>
              <w:t>Opción de no determinar el patrimonio neto ajustado al inicio del ejercicio comparativo</w:t>
            </w:r>
          </w:p>
        </w:tc>
        <w:tc>
          <w:tcPr>
            <w:tcW w:w="1459" w:type="dxa"/>
          </w:tcPr>
          <w:p w:rsidR="00A93069" w:rsidRPr="00C61BEE" w:rsidRDefault="00694B92">
            <w:pPr>
              <w:pStyle w:val="TableParagraph"/>
              <w:spacing w:before="7"/>
              <w:ind w:left="102"/>
              <w:rPr>
                <w:sz w:val="20"/>
                <w:szCs w:val="20"/>
              </w:rPr>
            </w:pPr>
            <w:r w:rsidRPr="00C61BEE">
              <w:rPr>
                <w:color w:val="212121"/>
                <w:sz w:val="20"/>
                <w:szCs w:val="20"/>
              </w:rPr>
              <w:t>Sec. 3.1 a</w:t>
            </w:r>
          </w:p>
          <w:p w:rsidR="00A93069" w:rsidRPr="00C61BEE" w:rsidRDefault="00694B92">
            <w:pPr>
              <w:pStyle w:val="TableParagraph"/>
              <w:spacing w:before="44"/>
              <w:ind w:left="102"/>
              <w:rPr>
                <w:sz w:val="20"/>
                <w:szCs w:val="20"/>
              </w:rPr>
            </w:pPr>
            <w:r w:rsidRPr="00C61BEE">
              <w:rPr>
                <w:color w:val="212121"/>
                <w:sz w:val="20"/>
                <w:szCs w:val="20"/>
              </w:rPr>
              <w:t>3.4,</w:t>
            </w:r>
          </w:p>
        </w:tc>
      </w:tr>
      <w:tr w:rsidR="00A93069" w:rsidRPr="00C61BEE" w:rsidTr="00C61BEE">
        <w:trPr>
          <w:trHeight w:val="1620"/>
        </w:trPr>
        <w:tc>
          <w:tcPr>
            <w:tcW w:w="1161" w:type="dxa"/>
          </w:tcPr>
          <w:p w:rsidR="00A93069" w:rsidRPr="00C61BEE" w:rsidRDefault="00A9306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13" w:type="dxa"/>
          </w:tcPr>
          <w:p w:rsidR="00A93069" w:rsidRPr="00C61BEE" w:rsidRDefault="00694B92">
            <w:pPr>
              <w:pStyle w:val="TableParagraph"/>
              <w:spacing w:before="4" w:line="283" w:lineRule="auto"/>
              <w:ind w:left="100" w:right="86"/>
              <w:jc w:val="both"/>
              <w:rPr>
                <w:sz w:val="20"/>
                <w:szCs w:val="20"/>
                <w:lang w:val="es-AR"/>
              </w:rPr>
            </w:pPr>
            <w:r w:rsidRPr="00C61BEE">
              <w:rPr>
                <w:color w:val="212121"/>
                <w:sz w:val="20"/>
                <w:szCs w:val="20"/>
                <w:lang w:val="es-AR"/>
              </w:rPr>
              <w:t>Opción de determinar la fecha de origen  y el valor de origen de bienes de uso mediante una evaluación profesional del valor, cuando los registros detallados de las partidas no estén disponibles y no sea posible su estimación.</w:t>
            </w:r>
          </w:p>
        </w:tc>
        <w:tc>
          <w:tcPr>
            <w:tcW w:w="1459" w:type="dxa"/>
          </w:tcPr>
          <w:p w:rsidR="00A93069" w:rsidRPr="00C61BEE" w:rsidRDefault="00694B92">
            <w:pPr>
              <w:pStyle w:val="TableParagraph"/>
              <w:spacing w:before="4"/>
              <w:ind w:left="102"/>
              <w:rPr>
                <w:sz w:val="20"/>
                <w:szCs w:val="20"/>
              </w:rPr>
            </w:pPr>
            <w:r w:rsidRPr="00C61BEE">
              <w:rPr>
                <w:color w:val="212121"/>
                <w:sz w:val="20"/>
                <w:szCs w:val="20"/>
              </w:rPr>
              <w:t>Sec. 3.5</w:t>
            </w:r>
          </w:p>
        </w:tc>
      </w:tr>
      <w:tr w:rsidR="00A93069" w:rsidRPr="00C61BEE" w:rsidTr="00C61BEE">
        <w:trPr>
          <w:trHeight w:val="1326"/>
        </w:trPr>
        <w:tc>
          <w:tcPr>
            <w:tcW w:w="1161" w:type="dxa"/>
          </w:tcPr>
          <w:p w:rsidR="00A93069" w:rsidRPr="00C61BEE" w:rsidRDefault="00A9306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13" w:type="dxa"/>
          </w:tcPr>
          <w:p w:rsidR="00A93069" w:rsidRPr="00C61BEE" w:rsidRDefault="00694B92">
            <w:pPr>
              <w:pStyle w:val="TableParagraph"/>
              <w:spacing w:before="4" w:line="283" w:lineRule="auto"/>
              <w:ind w:left="100" w:right="86"/>
              <w:jc w:val="both"/>
              <w:rPr>
                <w:sz w:val="20"/>
                <w:szCs w:val="20"/>
                <w:lang w:val="es-AR"/>
              </w:rPr>
            </w:pPr>
            <w:r w:rsidRPr="00C61BEE">
              <w:rPr>
                <w:color w:val="212121"/>
                <w:sz w:val="20"/>
                <w:szCs w:val="20"/>
                <w:lang w:val="es-AR"/>
              </w:rPr>
              <w:t>Opción para los elementos que tengan fecha de origen anterior al último proceso de reexpresión de poder utilizar como fecha y valor de origen la última reexpresión realizada.</w:t>
            </w:r>
          </w:p>
        </w:tc>
        <w:tc>
          <w:tcPr>
            <w:tcW w:w="1459" w:type="dxa"/>
          </w:tcPr>
          <w:p w:rsidR="00A93069" w:rsidRPr="00C61BEE" w:rsidRDefault="00694B92">
            <w:pPr>
              <w:pStyle w:val="TableParagraph"/>
              <w:spacing w:before="4"/>
              <w:ind w:left="102"/>
              <w:rPr>
                <w:sz w:val="20"/>
                <w:szCs w:val="20"/>
              </w:rPr>
            </w:pPr>
            <w:r w:rsidRPr="00C61BEE">
              <w:rPr>
                <w:color w:val="212121"/>
                <w:sz w:val="20"/>
                <w:szCs w:val="20"/>
              </w:rPr>
              <w:t>Sec. 3.6.</w:t>
            </w:r>
          </w:p>
        </w:tc>
      </w:tr>
      <w:tr w:rsidR="00A93069" w:rsidRPr="00C61BEE" w:rsidTr="00C61BEE">
        <w:trPr>
          <w:trHeight w:val="1620"/>
        </w:trPr>
        <w:tc>
          <w:tcPr>
            <w:tcW w:w="1161" w:type="dxa"/>
          </w:tcPr>
          <w:p w:rsidR="00A93069" w:rsidRPr="00C61BEE" w:rsidRDefault="00A9306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13" w:type="dxa"/>
          </w:tcPr>
          <w:p w:rsidR="00A93069" w:rsidRPr="00C61BEE" w:rsidRDefault="00694B92">
            <w:pPr>
              <w:pStyle w:val="TableParagraph"/>
              <w:spacing w:before="4" w:line="283" w:lineRule="auto"/>
              <w:ind w:left="100" w:right="86"/>
              <w:jc w:val="both"/>
              <w:rPr>
                <w:sz w:val="20"/>
                <w:szCs w:val="20"/>
                <w:lang w:val="es-AR"/>
              </w:rPr>
            </w:pPr>
            <w:r w:rsidRPr="00C61BEE">
              <w:rPr>
                <w:color w:val="212121"/>
                <w:sz w:val="20"/>
                <w:szCs w:val="20"/>
                <w:lang w:val="es-AR"/>
              </w:rPr>
              <w:t>Opción de no informar en notas la composición de  la causa del estado de flujo de efectivo identificada como “resultados financieros y por tenencia generados por el E y EE” requerida por la Interpretación</w:t>
            </w:r>
            <w:r w:rsidR="00C61BEE" w:rsidRPr="00C61BEE">
              <w:rPr>
                <w:color w:val="212121"/>
                <w:position w:val="6"/>
                <w:sz w:val="20"/>
                <w:szCs w:val="20"/>
                <w:lang w:val="es-AR"/>
              </w:rPr>
              <w:t>2</w:t>
            </w:r>
          </w:p>
        </w:tc>
        <w:tc>
          <w:tcPr>
            <w:tcW w:w="1459" w:type="dxa"/>
          </w:tcPr>
          <w:p w:rsidR="00A93069" w:rsidRPr="00C61BEE" w:rsidRDefault="00694B92">
            <w:pPr>
              <w:pStyle w:val="TableParagraph"/>
              <w:spacing w:before="4"/>
              <w:ind w:left="102"/>
              <w:rPr>
                <w:sz w:val="20"/>
                <w:szCs w:val="20"/>
              </w:rPr>
            </w:pPr>
            <w:r w:rsidRPr="00C61BEE">
              <w:rPr>
                <w:color w:val="212121"/>
                <w:sz w:val="20"/>
                <w:szCs w:val="20"/>
              </w:rPr>
              <w:t>Sec. 3.7.</w:t>
            </w:r>
          </w:p>
        </w:tc>
      </w:tr>
      <w:tr w:rsidR="00A93069" w:rsidRPr="00C61BEE" w:rsidTr="00C61BEE">
        <w:trPr>
          <w:trHeight w:val="1177"/>
        </w:trPr>
        <w:tc>
          <w:tcPr>
            <w:tcW w:w="1161" w:type="dxa"/>
          </w:tcPr>
          <w:p w:rsidR="00A93069" w:rsidRPr="00C61BEE" w:rsidRDefault="00A9306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13" w:type="dxa"/>
          </w:tcPr>
          <w:p w:rsidR="00A93069" w:rsidRPr="00C61BEE" w:rsidRDefault="00694B92" w:rsidP="003B1ECE">
            <w:pPr>
              <w:pStyle w:val="TableParagraph"/>
              <w:spacing w:before="4" w:line="283" w:lineRule="auto"/>
              <w:ind w:left="100" w:right="86"/>
              <w:jc w:val="both"/>
              <w:rPr>
                <w:sz w:val="20"/>
                <w:szCs w:val="20"/>
                <w:lang w:val="es-AR"/>
              </w:rPr>
            </w:pPr>
            <w:r w:rsidRPr="00C61BEE">
              <w:rPr>
                <w:color w:val="212121"/>
                <w:sz w:val="20"/>
                <w:szCs w:val="20"/>
                <w:lang w:val="es-AR"/>
              </w:rPr>
              <w:t>Opción en la aplicación del método del impuesto definido que permite no reconocer el pasivo por las diferencias  temporarias  surgidas   en  los  terrenos</w:t>
            </w:r>
            <w:r w:rsidR="003B1ECE">
              <w:rPr>
                <w:color w:val="212121"/>
                <w:sz w:val="20"/>
                <w:szCs w:val="20"/>
                <w:lang w:val="es-AR"/>
              </w:rPr>
              <w:t xml:space="preserve"> </w:t>
            </w:r>
            <w:r w:rsidRPr="00C61BEE">
              <w:rPr>
                <w:color w:val="212121"/>
                <w:sz w:val="20"/>
                <w:szCs w:val="20"/>
                <w:lang w:val="es-AR"/>
              </w:rPr>
              <w:t>(por</w:t>
            </w:r>
            <w:r w:rsidR="003B1ECE">
              <w:rPr>
                <w:color w:val="212121"/>
                <w:sz w:val="20"/>
                <w:szCs w:val="20"/>
                <w:lang w:val="es-AR"/>
              </w:rPr>
              <w:t xml:space="preserve"> </w:t>
            </w:r>
            <w:r w:rsidRPr="00C61BEE">
              <w:rPr>
                <w:color w:val="212121"/>
                <w:sz w:val="20"/>
                <w:szCs w:val="20"/>
                <w:lang w:val="es-AR"/>
              </w:rPr>
              <w:t>aplicación</w:t>
            </w:r>
            <w:r w:rsidR="003B1ECE">
              <w:rPr>
                <w:color w:val="212121"/>
                <w:sz w:val="20"/>
                <w:szCs w:val="20"/>
                <w:lang w:val="es-AR"/>
              </w:rPr>
              <w:t xml:space="preserve"> </w:t>
            </w:r>
            <w:r w:rsidRPr="00C61BEE">
              <w:rPr>
                <w:color w:val="212121"/>
                <w:sz w:val="20"/>
                <w:szCs w:val="20"/>
                <w:lang w:val="es-AR"/>
              </w:rPr>
              <w:t>de</w:t>
            </w:r>
            <w:r w:rsidR="003B1ECE">
              <w:rPr>
                <w:color w:val="212121"/>
                <w:sz w:val="20"/>
                <w:szCs w:val="20"/>
                <w:lang w:val="es-AR"/>
              </w:rPr>
              <w:t xml:space="preserve"> </w:t>
            </w:r>
            <w:r w:rsidRPr="00C61BEE">
              <w:rPr>
                <w:color w:val="212121"/>
                <w:sz w:val="20"/>
                <w:szCs w:val="20"/>
                <w:lang w:val="es-AR"/>
              </w:rPr>
              <w:t>la</w:t>
            </w:r>
            <w:r w:rsidR="003B1ECE">
              <w:rPr>
                <w:color w:val="212121"/>
                <w:sz w:val="20"/>
                <w:szCs w:val="20"/>
                <w:lang w:val="es-AR"/>
              </w:rPr>
              <w:t xml:space="preserve"> </w:t>
            </w:r>
            <w:r w:rsidRPr="00C61BEE">
              <w:rPr>
                <w:color w:val="212121"/>
                <w:sz w:val="20"/>
                <w:szCs w:val="20"/>
                <w:lang w:val="es-AR"/>
              </w:rPr>
              <w:t>RT6)</w:t>
            </w:r>
            <w:r w:rsidR="003B1ECE">
              <w:rPr>
                <w:color w:val="212121"/>
                <w:sz w:val="20"/>
                <w:szCs w:val="20"/>
                <w:lang w:val="es-AR"/>
              </w:rPr>
              <w:t xml:space="preserve"> </w:t>
            </w:r>
            <w:r w:rsidRPr="00C61BEE">
              <w:rPr>
                <w:color w:val="212121"/>
                <w:sz w:val="20"/>
                <w:szCs w:val="20"/>
                <w:lang w:val="es-AR"/>
              </w:rPr>
              <w:t>cuando</w:t>
            </w:r>
            <w:r w:rsidR="003B1ECE">
              <w:rPr>
                <w:color w:val="212121"/>
                <w:sz w:val="20"/>
                <w:szCs w:val="20"/>
                <w:lang w:val="es-AR"/>
              </w:rPr>
              <w:t xml:space="preserve"> </w:t>
            </w:r>
            <w:r w:rsidRPr="00C61BEE">
              <w:rPr>
                <w:color w:val="212121"/>
                <w:sz w:val="20"/>
                <w:szCs w:val="20"/>
                <w:lang w:val="es-AR"/>
              </w:rPr>
              <w:t>son</w:t>
            </w:r>
            <w:r w:rsidR="003B1ECE">
              <w:rPr>
                <w:color w:val="212121"/>
                <w:sz w:val="20"/>
                <w:szCs w:val="20"/>
                <w:lang w:val="es-AR"/>
              </w:rPr>
              <w:t xml:space="preserve"> </w:t>
            </w:r>
            <w:r w:rsidRPr="00C61BEE">
              <w:rPr>
                <w:color w:val="212121"/>
                <w:sz w:val="20"/>
                <w:szCs w:val="20"/>
                <w:lang w:val="es-AR"/>
              </w:rPr>
              <w:t>improbables</w:t>
            </w:r>
            <w:r w:rsidR="003B1ECE">
              <w:rPr>
                <w:color w:val="212121"/>
                <w:sz w:val="20"/>
                <w:szCs w:val="20"/>
                <w:lang w:val="es-AR"/>
              </w:rPr>
              <w:t xml:space="preserve"> </w:t>
            </w:r>
            <w:r w:rsidR="00C61BEE" w:rsidRPr="00C61BEE">
              <w:rPr>
                <w:color w:val="212121"/>
                <w:sz w:val="20"/>
                <w:szCs w:val="20"/>
                <w:lang w:val="es-AR"/>
              </w:rPr>
              <w:t>que esas diferencias se reversen en un futuro previsible. En su lugar, se informa en notas el importe de esas diferencias temporarias.</w:t>
            </w:r>
          </w:p>
        </w:tc>
        <w:tc>
          <w:tcPr>
            <w:tcW w:w="1459" w:type="dxa"/>
          </w:tcPr>
          <w:p w:rsidR="00A93069" w:rsidRPr="00C61BEE" w:rsidRDefault="00694B92">
            <w:pPr>
              <w:pStyle w:val="TableParagraph"/>
              <w:spacing w:before="4"/>
              <w:ind w:left="102"/>
              <w:rPr>
                <w:sz w:val="20"/>
                <w:szCs w:val="20"/>
              </w:rPr>
            </w:pPr>
            <w:r w:rsidRPr="00C61BEE">
              <w:rPr>
                <w:color w:val="212121"/>
                <w:sz w:val="20"/>
                <w:szCs w:val="20"/>
              </w:rPr>
              <w:t>Sec. 3.8.</w:t>
            </w:r>
          </w:p>
        </w:tc>
      </w:tr>
      <w:tr w:rsidR="00A93069" w:rsidTr="00C61BEE">
        <w:trPr>
          <w:trHeight w:val="986"/>
        </w:trPr>
        <w:tc>
          <w:tcPr>
            <w:tcW w:w="1161" w:type="dxa"/>
          </w:tcPr>
          <w:p w:rsidR="00A93069" w:rsidRPr="00CB5DFD" w:rsidRDefault="00A93069">
            <w:pPr>
              <w:pStyle w:val="TableParagraph"/>
              <w:rPr>
                <w:rFonts w:ascii="Times New Roman"/>
                <w:lang w:val="es-AR"/>
              </w:rPr>
            </w:pPr>
          </w:p>
        </w:tc>
        <w:tc>
          <w:tcPr>
            <w:tcW w:w="5413" w:type="dxa"/>
          </w:tcPr>
          <w:p w:rsidR="00A93069" w:rsidRPr="00C61BEE" w:rsidRDefault="00694B92">
            <w:pPr>
              <w:pStyle w:val="TableParagraph"/>
              <w:spacing w:before="6" w:line="283" w:lineRule="auto"/>
              <w:ind w:left="100" w:right="88"/>
              <w:jc w:val="both"/>
              <w:rPr>
                <w:color w:val="212121"/>
                <w:sz w:val="20"/>
                <w:szCs w:val="20"/>
                <w:lang w:val="es-AR"/>
              </w:rPr>
            </w:pPr>
            <w:r w:rsidRPr="00C61BEE">
              <w:rPr>
                <w:color w:val="212121"/>
                <w:sz w:val="20"/>
                <w:szCs w:val="20"/>
                <w:lang w:val="es-AR"/>
              </w:rPr>
              <w:t>Opción de agrupar partidas por fecha de origen en períodos mayores al mes cuando no se generen distorsiones significativas</w:t>
            </w:r>
          </w:p>
        </w:tc>
        <w:tc>
          <w:tcPr>
            <w:tcW w:w="1459" w:type="dxa"/>
          </w:tcPr>
          <w:p w:rsidR="00A93069" w:rsidRDefault="00694B92" w:rsidP="00C61BEE">
            <w:pPr>
              <w:pStyle w:val="TableParagraph"/>
              <w:spacing w:before="7"/>
              <w:ind w:left="102"/>
            </w:pPr>
            <w:r w:rsidRPr="00C61BEE">
              <w:rPr>
                <w:color w:val="212121"/>
                <w:sz w:val="20"/>
                <w:szCs w:val="20"/>
              </w:rPr>
              <w:t>Sec. 4.1.a</w:t>
            </w:r>
          </w:p>
        </w:tc>
      </w:tr>
      <w:tr w:rsidR="00A93069" w:rsidTr="00C61BEE">
        <w:trPr>
          <w:trHeight w:val="985"/>
        </w:trPr>
        <w:tc>
          <w:tcPr>
            <w:tcW w:w="1161" w:type="dxa"/>
          </w:tcPr>
          <w:p w:rsidR="00A93069" w:rsidRDefault="00A9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3" w:type="dxa"/>
          </w:tcPr>
          <w:p w:rsidR="00A93069" w:rsidRPr="00CB5DFD" w:rsidRDefault="00694B92" w:rsidP="00C61BEE">
            <w:pPr>
              <w:pStyle w:val="TableParagraph"/>
              <w:spacing w:before="4" w:line="283" w:lineRule="auto"/>
              <w:ind w:left="100" w:right="86"/>
              <w:jc w:val="both"/>
              <w:rPr>
                <w:lang w:val="es-AR"/>
              </w:rPr>
            </w:pPr>
            <w:r w:rsidRPr="00C61BEE">
              <w:rPr>
                <w:color w:val="212121"/>
                <w:sz w:val="20"/>
                <w:szCs w:val="20"/>
                <w:lang w:val="es-AR"/>
              </w:rPr>
              <w:t>Opción de determinar y presentar los resultados financieros y por tenencia (incluido el RECPAM) en una sola línea</w:t>
            </w:r>
          </w:p>
        </w:tc>
        <w:tc>
          <w:tcPr>
            <w:tcW w:w="1459" w:type="dxa"/>
          </w:tcPr>
          <w:p w:rsidR="00A93069" w:rsidRDefault="00694B92">
            <w:pPr>
              <w:pStyle w:val="TableParagraph"/>
              <w:spacing w:before="7"/>
              <w:ind w:left="102"/>
            </w:pPr>
            <w:r w:rsidRPr="00C61BEE">
              <w:rPr>
                <w:color w:val="212121"/>
                <w:sz w:val="20"/>
                <w:szCs w:val="20"/>
              </w:rPr>
              <w:t>Sec. 4.1.b</w:t>
            </w:r>
          </w:p>
        </w:tc>
      </w:tr>
    </w:tbl>
    <w:p w:rsidR="00A93069" w:rsidRPr="003B1ECE" w:rsidRDefault="003B1ECE">
      <w:pPr>
        <w:pStyle w:val="Textoindependiente"/>
        <w:rPr>
          <w:color w:val="FF0000"/>
          <w:sz w:val="18"/>
          <w:szCs w:val="18"/>
          <w:lang w:val="es-AR"/>
        </w:rPr>
      </w:pPr>
      <w:r w:rsidRPr="003B1ECE">
        <w:rPr>
          <w:color w:val="FF0000"/>
          <w:sz w:val="18"/>
          <w:szCs w:val="18"/>
          <w:lang w:val="es-ES"/>
        </w:rPr>
        <w:t xml:space="preserve">        </w:t>
      </w:r>
      <w:r w:rsidRPr="003B1ECE">
        <w:rPr>
          <w:color w:val="FF0000"/>
          <w:sz w:val="18"/>
          <w:szCs w:val="18"/>
          <w:lang w:val="es-AR"/>
        </w:rPr>
        <w:t>*1: Indicar “si” o “no”, según haya utilizado o no la opción indicada.</w:t>
      </w:r>
    </w:p>
    <w:p w:rsidR="00A93069" w:rsidRPr="003B1ECE" w:rsidRDefault="00A93069">
      <w:pPr>
        <w:pStyle w:val="Textoindependiente"/>
        <w:spacing w:before="7"/>
        <w:rPr>
          <w:rFonts w:ascii="Calibri"/>
          <w:sz w:val="25"/>
          <w:lang w:val="es-ES"/>
        </w:rPr>
      </w:pPr>
    </w:p>
    <w:p w:rsidR="00A93069" w:rsidRPr="00CB5DFD" w:rsidRDefault="00A93069" w:rsidP="003B1ECE">
      <w:pPr>
        <w:pStyle w:val="Prrafodelista"/>
        <w:tabs>
          <w:tab w:val="left" w:pos="652"/>
        </w:tabs>
        <w:spacing w:before="174" w:line="261" w:lineRule="auto"/>
        <w:ind w:left="396" w:right="406" w:firstLine="0"/>
        <w:rPr>
          <w:lang w:val="es-AR"/>
        </w:rPr>
      </w:pPr>
    </w:p>
    <w:sectPr w:rsidR="00A93069" w:rsidRPr="00CB5DFD" w:rsidSect="00033581">
      <w:headerReference w:type="default" r:id="rId7"/>
      <w:footerReference w:type="default" r:id="rId8"/>
      <w:pgSz w:w="12240" w:h="15840"/>
      <w:pgMar w:top="1220" w:right="1720" w:bottom="880" w:left="1720" w:header="706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B6" w:rsidRDefault="00105CB6">
      <w:r>
        <w:separator/>
      </w:r>
    </w:p>
  </w:endnote>
  <w:endnote w:type="continuationSeparator" w:id="1">
    <w:p w:rsidR="00105CB6" w:rsidRDefault="0010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CE" w:rsidRPr="00B02C35" w:rsidRDefault="003B1ECE" w:rsidP="003B1ECE">
    <w:pPr>
      <w:pStyle w:val="Piedepgina"/>
      <w:pBdr>
        <w:top w:val="single" w:sz="4" w:space="1" w:color="auto"/>
      </w:pBdr>
      <w:rPr>
        <w:color w:val="A6A6A6"/>
        <w:lang w:val="es-AR"/>
      </w:rPr>
    </w:pPr>
    <w:r>
      <w:rPr>
        <w:b/>
        <w:bCs/>
        <w:color w:val="A6A6A6"/>
        <w:sz w:val="20"/>
        <w:szCs w:val="20"/>
        <w:lang w:val="es-AR"/>
      </w:rPr>
      <w:t>Secretaria Técnica – CPCE Jujuy</w:t>
    </w:r>
  </w:p>
  <w:p w:rsidR="00A93069" w:rsidRDefault="00A9306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B6" w:rsidRDefault="00105CB6">
      <w:r>
        <w:separator/>
      </w:r>
    </w:p>
  </w:footnote>
  <w:footnote w:type="continuationSeparator" w:id="1">
    <w:p w:rsidR="00105CB6" w:rsidRDefault="00105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69" w:rsidRDefault="00A9306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3D6E"/>
    <w:multiLevelType w:val="hybridMultilevel"/>
    <w:tmpl w:val="DD3E10E2"/>
    <w:lvl w:ilvl="0" w:tplc="18A841D8">
      <w:start w:val="1"/>
      <w:numFmt w:val="decimal"/>
      <w:lvlText w:val="%1."/>
      <w:lvlJc w:val="left"/>
      <w:pPr>
        <w:ind w:left="648" w:hanging="252"/>
        <w:jc w:val="left"/>
      </w:pPr>
      <w:rPr>
        <w:rFonts w:ascii="Arial" w:eastAsia="Arial" w:hAnsi="Arial" w:cs="Arial" w:hint="default"/>
        <w:b/>
        <w:bCs/>
        <w:color w:val="212121"/>
        <w:spacing w:val="-1"/>
        <w:w w:val="102"/>
        <w:sz w:val="22"/>
        <w:szCs w:val="22"/>
      </w:rPr>
    </w:lvl>
    <w:lvl w:ilvl="1" w:tplc="50FA1ADC">
      <w:start w:val="1"/>
      <w:numFmt w:val="lowerLetter"/>
      <w:lvlText w:val="%2)"/>
      <w:lvlJc w:val="left"/>
      <w:pPr>
        <w:ind w:left="1073" w:hanging="339"/>
        <w:jc w:val="left"/>
      </w:pPr>
      <w:rPr>
        <w:rFonts w:ascii="Arial" w:eastAsia="Arial" w:hAnsi="Arial" w:cs="Arial" w:hint="default"/>
        <w:color w:val="212121"/>
        <w:spacing w:val="-1"/>
        <w:w w:val="102"/>
        <w:sz w:val="22"/>
        <w:szCs w:val="22"/>
      </w:rPr>
    </w:lvl>
    <w:lvl w:ilvl="2" w:tplc="D97039B6">
      <w:numFmt w:val="bullet"/>
      <w:lvlText w:val="•"/>
      <w:lvlJc w:val="left"/>
      <w:pPr>
        <w:ind w:left="1937" w:hanging="339"/>
      </w:pPr>
      <w:rPr>
        <w:rFonts w:hint="default"/>
      </w:rPr>
    </w:lvl>
    <w:lvl w:ilvl="3" w:tplc="56149F6C">
      <w:numFmt w:val="bullet"/>
      <w:lvlText w:val="•"/>
      <w:lvlJc w:val="left"/>
      <w:pPr>
        <w:ind w:left="2795" w:hanging="339"/>
      </w:pPr>
      <w:rPr>
        <w:rFonts w:hint="default"/>
      </w:rPr>
    </w:lvl>
    <w:lvl w:ilvl="4" w:tplc="91E20C12">
      <w:numFmt w:val="bullet"/>
      <w:lvlText w:val="•"/>
      <w:lvlJc w:val="left"/>
      <w:pPr>
        <w:ind w:left="3653" w:hanging="339"/>
      </w:pPr>
      <w:rPr>
        <w:rFonts w:hint="default"/>
      </w:rPr>
    </w:lvl>
    <w:lvl w:ilvl="5" w:tplc="699C0420">
      <w:numFmt w:val="bullet"/>
      <w:lvlText w:val="•"/>
      <w:lvlJc w:val="left"/>
      <w:pPr>
        <w:ind w:left="4511" w:hanging="339"/>
      </w:pPr>
      <w:rPr>
        <w:rFonts w:hint="default"/>
      </w:rPr>
    </w:lvl>
    <w:lvl w:ilvl="6" w:tplc="7B82B9B4">
      <w:numFmt w:val="bullet"/>
      <w:lvlText w:val="•"/>
      <w:lvlJc w:val="left"/>
      <w:pPr>
        <w:ind w:left="5368" w:hanging="339"/>
      </w:pPr>
      <w:rPr>
        <w:rFonts w:hint="default"/>
      </w:rPr>
    </w:lvl>
    <w:lvl w:ilvl="7" w:tplc="E070CA6C">
      <w:numFmt w:val="bullet"/>
      <w:lvlText w:val="•"/>
      <w:lvlJc w:val="left"/>
      <w:pPr>
        <w:ind w:left="6226" w:hanging="339"/>
      </w:pPr>
      <w:rPr>
        <w:rFonts w:hint="default"/>
      </w:rPr>
    </w:lvl>
    <w:lvl w:ilvl="8" w:tplc="0C72E2A8">
      <w:numFmt w:val="bullet"/>
      <w:lvlText w:val="•"/>
      <w:lvlJc w:val="left"/>
      <w:pPr>
        <w:ind w:left="7084" w:hanging="339"/>
      </w:pPr>
      <w:rPr>
        <w:rFonts w:hint="default"/>
      </w:rPr>
    </w:lvl>
  </w:abstractNum>
  <w:abstractNum w:abstractNumId="1">
    <w:nsid w:val="518F16D2"/>
    <w:multiLevelType w:val="hybridMultilevel"/>
    <w:tmpl w:val="8EA024EC"/>
    <w:lvl w:ilvl="0" w:tplc="F1E8FCEE">
      <w:start w:val="1"/>
      <w:numFmt w:val="upperLetter"/>
      <w:lvlText w:val="%1."/>
      <w:lvlJc w:val="left"/>
      <w:pPr>
        <w:ind w:left="675" w:hanging="279"/>
        <w:jc w:val="left"/>
      </w:pPr>
      <w:rPr>
        <w:rFonts w:ascii="Arial" w:eastAsia="Arial" w:hAnsi="Arial" w:cs="Arial" w:hint="default"/>
        <w:b/>
        <w:color w:val="212121"/>
        <w:spacing w:val="0"/>
        <w:w w:val="102"/>
        <w:sz w:val="22"/>
        <w:szCs w:val="22"/>
      </w:rPr>
    </w:lvl>
    <w:lvl w:ilvl="1" w:tplc="DBDACF64">
      <w:numFmt w:val="bullet"/>
      <w:lvlText w:val="•"/>
      <w:lvlJc w:val="left"/>
      <w:pPr>
        <w:ind w:left="1492" w:hanging="279"/>
      </w:pPr>
      <w:rPr>
        <w:rFonts w:hint="default"/>
      </w:rPr>
    </w:lvl>
    <w:lvl w:ilvl="2" w:tplc="A956D632">
      <w:numFmt w:val="bullet"/>
      <w:lvlText w:val="•"/>
      <w:lvlJc w:val="left"/>
      <w:pPr>
        <w:ind w:left="2304" w:hanging="279"/>
      </w:pPr>
      <w:rPr>
        <w:rFonts w:hint="default"/>
      </w:rPr>
    </w:lvl>
    <w:lvl w:ilvl="3" w:tplc="D4DC8E46">
      <w:numFmt w:val="bullet"/>
      <w:lvlText w:val="•"/>
      <w:lvlJc w:val="left"/>
      <w:pPr>
        <w:ind w:left="3116" w:hanging="279"/>
      </w:pPr>
      <w:rPr>
        <w:rFonts w:hint="default"/>
      </w:rPr>
    </w:lvl>
    <w:lvl w:ilvl="4" w:tplc="A7A869A2">
      <w:numFmt w:val="bullet"/>
      <w:lvlText w:val="•"/>
      <w:lvlJc w:val="left"/>
      <w:pPr>
        <w:ind w:left="3928" w:hanging="279"/>
      </w:pPr>
      <w:rPr>
        <w:rFonts w:hint="default"/>
      </w:rPr>
    </w:lvl>
    <w:lvl w:ilvl="5" w:tplc="D2E2DD28">
      <w:numFmt w:val="bullet"/>
      <w:lvlText w:val="•"/>
      <w:lvlJc w:val="left"/>
      <w:pPr>
        <w:ind w:left="4740" w:hanging="279"/>
      </w:pPr>
      <w:rPr>
        <w:rFonts w:hint="default"/>
      </w:rPr>
    </w:lvl>
    <w:lvl w:ilvl="6" w:tplc="EEA6F78A">
      <w:numFmt w:val="bullet"/>
      <w:lvlText w:val="•"/>
      <w:lvlJc w:val="left"/>
      <w:pPr>
        <w:ind w:left="5552" w:hanging="279"/>
      </w:pPr>
      <w:rPr>
        <w:rFonts w:hint="default"/>
      </w:rPr>
    </w:lvl>
    <w:lvl w:ilvl="7" w:tplc="053C17AE">
      <w:numFmt w:val="bullet"/>
      <w:lvlText w:val="•"/>
      <w:lvlJc w:val="left"/>
      <w:pPr>
        <w:ind w:left="6364" w:hanging="279"/>
      </w:pPr>
      <w:rPr>
        <w:rFonts w:hint="default"/>
      </w:rPr>
    </w:lvl>
    <w:lvl w:ilvl="8" w:tplc="D2025650">
      <w:numFmt w:val="bullet"/>
      <w:lvlText w:val="•"/>
      <w:lvlJc w:val="left"/>
      <w:pPr>
        <w:ind w:left="7176" w:hanging="279"/>
      </w:pPr>
      <w:rPr>
        <w:rFonts w:hint="default"/>
      </w:rPr>
    </w:lvl>
  </w:abstractNum>
  <w:abstractNum w:abstractNumId="2">
    <w:nsid w:val="5F186AF0"/>
    <w:multiLevelType w:val="hybridMultilevel"/>
    <w:tmpl w:val="705AC8B6"/>
    <w:lvl w:ilvl="0" w:tplc="60BC9A0C">
      <w:start w:val="1"/>
      <w:numFmt w:val="lowerLetter"/>
      <w:lvlText w:val="%1."/>
      <w:lvlJc w:val="left"/>
      <w:pPr>
        <w:ind w:left="396" w:hanging="240"/>
        <w:jc w:val="left"/>
      </w:pPr>
      <w:rPr>
        <w:rFonts w:hint="default"/>
        <w:spacing w:val="-1"/>
        <w:w w:val="102"/>
      </w:rPr>
    </w:lvl>
    <w:lvl w:ilvl="1" w:tplc="5102303A">
      <w:numFmt w:val="bullet"/>
      <w:lvlText w:val="•"/>
      <w:lvlJc w:val="left"/>
      <w:pPr>
        <w:ind w:left="1240" w:hanging="240"/>
      </w:pPr>
      <w:rPr>
        <w:rFonts w:hint="default"/>
      </w:rPr>
    </w:lvl>
    <w:lvl w:ilvl="2" w:tplc="9C1C48A4">
      <w:numFmt w:val="bullet"/>
      <w:lvlText w:val="•"/>
      <w:lvlJc w:val="left"/>
      <w:pPr>
        <w:ind w:left="2080" w:hanging="240"/>
      </w:pPr>
      <w:rPr>
        <w:rFonts w:hint="default"/>
      </w:rPr>
    </w:lvl>
    <w:lvl w:ilvl="3" w:tplc="34F86ABE">
      <w:numFmt w:val="bullet"/>
      <w:lvlText w:val="•"/>
      <w:lvlJc w:val="left"/>
      <w:pPr>
        <w:ind w:left="2920" w:hanging="240"/>
      </w:pPr>
      <w:rPr>
        <w:rFonts w:hint="default"/>
      </w:rPr>
    </w:lvl>
    <w:lvl w:ilvl="4" w:tplc="874613FE">
      <w:numFmt w:val="bullet"/>
      <w:lvlText w:val="•"/>
      <w:lvlJc w:val="left"/>
      <w:pPr>
        <w:ind w:left="3760" w:hanging="240"/>
      </w:pPr>
      <w:rPr>
        <w:rFonts w:hint="default"/>
      </w:rPr>
    </w:lvl>
    <w:lvl w:ilvl="5" w:tplc="41B4057A">
      <w:numFmt w:val="bullet"/>
      <w:lvlText w:val="•"/>
      <w:lvlJc w:val="left"/>
      <w:pPr>
        <w:ind w:left="4600" w:hanging="240"/>
      </w:pPr>
      <w:rPr>
        <w:rFonts w:hint="default"/>
      </w:rPr>
    </w:lvl>
    <w:lvl w:ilvl="6" w:tplc="5C2A33A8">
      <w:numFmt w:val="bullet"/>
      <w:lvlText w:val="•"/>
      <w:lvlJc w:val="left"/>
      <w:pPr>
        <w:ind w:left="5440" w:hanging="240"/>
      </w:pPr>
      <w:rPr>
        <w:rFonts w:hint="default"/>
      </w:rPr>
    </w:lvl>
    <w:lvl w:ilvl="7" w:tplc="14F2097C">
      <w:numFmt w:val="bullet"/>
      <w:lvlText w:val="•"/>
      <w:lvlJc w:val="left"/>
      <w:pPr>
        <w:ind w:left="6280" w:hanging="240"/>
      </w:pPr>
      <w:rPr>
        <w:rFonts w:hint="default"/>
      </w:rPr>
    </w:lvl>
    <w:lvl w:ilvl="8" w:tplc="338004C0">
      <w:numFmt w:val="bullet"/>
      <w:lvlText w:val="•"/>
      <w:lvlJc w:val="left"/>
      <w:pPr>
        <w:ind w:left="7120" w:hanging="240"/>
      </w:pPr>
      <w:rPr>
        <w:rFonts w:hint="default"/>
      </w:rPr>
    </w:lvl>
  </w:abstractNum>
  <w:abstractNum w:abstractNumId="3">
    <w:nsid w:val="736A7767"/>
    <w:multiLevelType w:val="hybridMultilevel"/>
    <w:tmpl w:val="F158534C"/>
    <w:lvl w:ilvl="0" w:tplc="153E2B62">
      <w:start w:val="1"/>
      <w:numFmt w:val="decimal"/>
      <w:lvlText w:val="%1."/>
      <w:lvlJc w:val="left"/>
      <w:pPr>
        <w:ind w:left="648" w:hanging="252"/>
        <w:jc w:val="left"/>
      </w:pPr>
      <w:rPr>
        <w:rFonts w:ascii="Arial" w:eastAsia="Arial" w:hAnsi="Arial" w:cs="Arial" w:hint="default"/>
        <w:b/>
        <w:bCs/>
        <w:color w:val="212121"/>
        <w:spacing w:val="-1"/>
        <w:w w:val="102"/>
        <w:sz w:val="22"/>
        <w:szCs w:val="22"/>
      </w:rPr>
    </w:lvl>
    <w:lvl w:ilvl="1" w:tplc="DAEC3B38">
      <w:numFmt w:val="bullet"/>
      <w:lvlText w:val="•"/>
      <w:lvlJc w:val="left"/>
      <w:pPr>
        <w:ind w:left="1456" w:hanging="252"/>
      </w:pPr>
      <w:rPr>
        <w:rFonts w:hint="default"/>
      </w:rPr>
    </w:lvl>
    <w:lvl w:ilvl="2" w:tplc="3A6235A2">
      <w:numFmt w:val="bullet"/>
      <w:lvlText w:val="•"/>
      <w:lvlJc w:val="left"/>
      <w:pPr>
        <w:ind w:left="2272" w:hanging="252"/>
      </w:pPr>
      <w:rPr>
        <w:rFonts w:hint="default"/>
      </w:rPr>
    </w:lvl>
    <w:lvl w:ilvl="3" w:tplc="1130D99E">
      <w:numFmt w:val="bullet"/>
      <w:lvlText w:val="•"/>
      <w:lvlJc w:val="left"/>
      <w:pPr>
        <w:ind w:left="3088" w:hanging="252"/>
      </w:pPr>
      <w:rPr>
        <w:rFonts w:hint="default"/>
      </w:rPr>
    </w:lvl>
    <w:lvl w:ilvl="4" w:tplc="2FC61F8A">
      <w:numFmt w:val="bullet"/>
      <w:lvlText w:val="•"/>
      <w:lvlJc w:val="left"/>
      <w:pPr>
        <w:ind w:left="3904" w:hanging="252"/>
      </w:pPr>
      <w:rPr>
        <w:rFonts w:hint="default"/>
      </w:rPr>
    </w:lvl>
    <w:lvl w:ilvl="5" w:tplc="6B3C34DA">
      <w:numFmt w:val="bullet"/>
      <w:lvlText w:val="•"/>
      <w:lvlJc w:val="left"/>
      <w:pPr>
        <w:ind w:left="4720" w:hanging="252"/>
      </w:pPr>
      <w:rPr>
        <w:rFonts w:hint="default"/>
      </w:rPr>
    </w:lvl>
    <w:lvl w:ilvl="6" w:tplc="0B2CD5EE">
      <w:numFmt w:val="bullet"/>
      <w:lvlText w:val="•"/>
      <w:lvlJc w:val="left"/>
      <w:pPr>
        <w:ind w:left="5536" w:hanging="252"/>
      </w:pPr>
      <w:rPr>
        <w:rFonts w:hint="default"/>
      </w:rPr>
    </w:lvl>
    <w:lvl w:ilvl="7" w:tplc="8D42A62E">
      <w:numFmt w:val="bullet"/>
      <w:lvlText w:val="•"/>
      <w:lvlJc w:val="left"/>
      <w:pPr>
        <w:ind w:left="6352" w:hanging="252"/>
      </w:pPr>
      <w:rPr>
        <w:rFonts w:hint="default"/>
      </w:rPr>
    </w:lvl>
    <w:lvl w:ilvl="8" w:tplc="C4E411EC">
      <w:numFmt w:val="bullet"/>
      <w:lvlText w:val="•"/>
      <w:lvlJc w:val="left"/>
      <w:pPr>
        <w:ind w:left="7168" w:hanging="25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93069"/>
    <w:rsid w:val="00033581"/>
    <w:rsid w:val="00105CB6"/>
    <w:rsid w:val="003B1ECE"/>
    <w:rsid w:val="00694B92"/>
    <w:rsid w:val="00A93069"/>
    <w:rsid w:val="00C61BEE"/>
    <w:rsid w:val="00CB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581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033581"/>
    <w:pPr>
      <w:spacing w:before="93"/>
      <w:ind w:left="396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033581"/>
    <w:pPr>
      <w:spacing w:before="196"/>
      <w:ind w:left="39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33581"/>
  </w:style>
  <w:style w:type="paragraph" w:styleId="Prrafodelista">
    <w:name w:val="List Paragraph"/>
    <w:basedOn w:val="Normal"/>
    <w:uiPriority w:val="1"/>
    <w:qFormat/>
    <w:rsid w:val="00033581"/>
    <w:pPr>
      <w:ind w:left="648" w:hanging="252"/>
    </w:pPr>
  </w:style>
  <w:style w:type="paragraph" w:customStyle="1" w:styleId="TableParagraph">
    <w:name w:val="Table Paragraph"/>
    <w:basedOn w:val="Normal"/>
    <w:uiPriority w:val="1"/>
    <w:qFormat/>
    <w:rsid w:val="00033581"/>
  </w:style>
  <w:style w:type="paragraph" w:styleId="Encabezado">
    <w:name w:val="header"/>
    <w:basedOn w:val="Normal"/>
    <w:link w:val="EncabezadoCar"/>
    <w:uiPriority w:val="99"/>
    <w:unhideWhenUsed/>
    <w:rsid w:val="00C61B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BE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61B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EE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 de notas Resolución 539-18 Segunda parte para publicar</vt:lpstr>
    </vt:vector>
  </TitlesOfParts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de notas Resolución 539-18 Segunda parte para publicar</dc:title>
  <dc:creator>Jorge</dc:creator>
  <cp:lastModifiedBy>TOSHIBA</cp:lastModifiedBy>
  <cp:revision>2</cp:revision>
  <dcterms:created xsi:type="dcterms:W3CDTF">2019-01-02T23:14:00Z</dcterms:created>
  <dcterms:modified xsi:type="dcterms:W3CDTF">2019-01-02T23:14:00Z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2019-01-02T00:00:00Z</vt:filetime>
  </property>
</Properties>
</file>