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069" w:rsidRPr="00CB5DFD" w:rsidRDefault="00694B92">
      <w:pPr>
        <w:spacing w:before="196" w:line="283" w:lineRule="auto"/>
        <w:ind w:left="396" w:right="404"/>
        <w:jc w:val="both"/>
        <w:rPr>
          <w:b/>
          <w:lang w:val="es-AR"/>
        </w:rPr>
      </w:pPr>
      <w:r w:rsidRPr="00CB5DFD">
        <w:rPr>
          <w:b/>
          <w:color w:val="212121"/>
          <w:lang w:val="es-AR"/>
        </w:rPr>
        <w:t>Modelo de Nota para ejercicios que cierren a partir del 1-7-2018 y donde se aplicó el ajuste por inflación. Limitaciones que las simplificaciones utilizadas podrían provocar en la información contenida en los estados contables</w:t>
      </w:r>
    </w:p>
    <w:p w:rsidR="00A93069" w:rsidRPr="00CB5DFD" w:rsidRDefault="00694B92">
      <w:pPr>
        <w:pStyle w:val="Textoindependiente"/>
        <w:spacing w:before="150" w:line="283" w:lineRule="auto"/>
        <w:ind w:left="396" w:right="407"/>
        <w:jc w:val="both"/>
        <w:rPr>
          <w:lang w:val="es-AR"/>
        </w:rPr>
      </w:pPr>
      <w:r w:rsidRPr="00CB5DFD">
        <w:rPr>
          <w:color w:val="212121"/>
          <w:lang w:val="es-AR"/>
        </w:rPr>
        <w:t>El objetivo de esta nota es alertar al usuario de la información sobre las limitaciones que pueden generar las opciones utilizadas, en los estados contables.</w:t>
      </w:r>
    </w:p>
    <w:p w:rsidR="00A93069" w:rsidRPr="00C61BEE" w:rsidRDefault="00C61BEE">
      <w:pPr>
        <w:pStyle w:val="Prrafodelista"/>
        <w:numPr>
          <w:ilvl w:val="1"/>
          <w:numId w:val="3"/>
        </w:numPr>
        <w:tabs>
          <w:tab w:val="left" w:pos="1074"/>
        </w:tabs>
        <w:spacing w:before="148"/>
        <w:ind w:hanging="338"/>
        <w:rPr>
          <w:u w:val="single"/>
          <w:lang w:val="es-AR"/>
        </w:rPr>
      </w:pPr>
      <w:r w:rsidRPr="00C61BEE">
        <w:rPr>
          <w:color w:val="212121"/>
          <w:u w:val="single"/>
          <w:lang w:val="es-AR"/>
        </w:rPr>
        <w:t>Opción de no determinar el patrimonio neto ajustado al inicio</w:t>
      </w:r>
      <w:r w:rsidR="00694B92" w:rsidRPr="00C61BEE">
        <w:rPr>
          <w:color w:val="212121"/>
          <w:u w:val="single"/>
          <w:lang w:val="es-AR"/>
        </w:rPr>
        <w:t>:</w:t>
      </w:r>
    </w:p>
    <w:p w:rsidR="00A93069" w:rsidRPr="00CB5DFD" w:rsidRDefault="00694B92">
      <w:pPr>
        <w:pStyle w:val="Textoindependiente"/>
        <w:spacing w:before="196" w:line="283" w:lineRule="auto"/>
        <w:ind w:left="396" w:right="406"/>
        <w:jc w:val="both"/>
        <w:rPr>
          <w:lang w:val="es-AR"/>
        </w:rPr>
      </w:pPr>
      <w:r w:rsidRPr="00CB5DFD">
        <w:rPr>
          <w:color w:val="212121"/>
          <w:lang w:val="es-AR"/>
        </w:rPr>
        <w:t xml:space="preserve">La empresa ejerció la opción de no determinar el patrimonio neto ajustado al inicio del ejercicio comparativo </w:t>
      </w:r>
      <w:r w:rsidRPr="00CB5DFD">
        <w:rPr>
          <w:color w:val="212121"/>
          <w:spacing w:val="-3"/>
          <w:lang w:val="es-AR"/>
        </w:rPr>
        <w:t xml:space="preserve">y, </w:t>
      </w:r>
      <w:r w:rsidRPr="00CB5DFD">
        <w:rPr>
          <w:color w:val="212121"/>
          <w:lang w:val="es-AR"/>
        </w:rPr>
        <w:t>por ello, no ha presentado información comparativa correspondiente al estado de evolución del patrimonio neto, estado de resultados y estado de flujo deefectivo.</w:t>
      </w:r>
    </w:p>
    <w:p w:rsidR="00A93069" w:rsidRPr="00CB5DFD" w:rsidRDefault="00694B92">
      <w:pPr>
        <w:pStyle w:val="Textoindependiente"/>
        <w:spacing w:before="150" w:line="283" w:lineRule="auto"/>
        <w:ind w:left="396" w:right="407"/>
        <w:jc w:val="both"/>
        <w:rPr>
          <w:lang w:val="es-AR"/>
        </w:rPr>
      </w:pPr>
      <w:r w:rsidRPr="00CB5DFD">
        <w:rPr>
          <w:color w:val="212121"/>
          <w:lang w:val="es-AR"/>
        </w:rPr>
        <w:t>La falta de información comparativa limita la información disponible en los estados contables para analizar la evolución de las diferentes magnitudes y las ratios habitualmente utilizados en el análisis de los estadoscontables.</w:t>
      </w:r>
    </w:p>
    <w:p w:rsidR="00A93069" w:rsidRPr="00C61BEE" w:rsidRDefault="00694B92">
      <w:pPr>
        <w:pStyle w:val="Prrafodelista"/>
        <w:numPr>
          <w:ilvl w:val="1"/>
          <w:numId w:val="3"/>
        </w:numPr>
        <w:tabs>
          <w:tab w:val="left" w:pos="1074"/>
        </w:tabs>
        <w:spacing w:before="151"/>
        <w:ind w:hanging="338"/>
        <w:rPr>
          <w:lang w:val="es-AR"/>
        </w:rPr>
      </w:pPr>
      <w:r w:rsidRPr="00C61BEE">
        <w:rPr>
          <w:color w:val="212121"/>
          <w:lang w:val="es-AR"/>
        </w:rPr>
        <w:t>O</w:t>
      </w:r>
      <w:r w:rsidR="00C61BEE" w:rsidRPr="00CB5DFD">
        <w:rPr>
          <w:color w:val="212121"/>
          <w:lang w:val="es-AR"/>
        </w:rPr>
        <w:t>pción de la RT 6 y la Res. JG 539-18 de presentar el Recpam incluido en los resultados financieros y por tenencia, y en una sola línea</w:t>
      </w:r>
      <w:r w:rsidRPr="00C61BEE">
        <w:rPr>
          <w:color w:val="212121"/>
          <w:lang w:val="es-AR"/>
        </w:rPr>
        <w:t>.</w:t>
      </w:r>
    </w:p>
    <w:p w:rsidR="00A93069" w:rsidRPr="00CB5DFD" w:rsidRDefault="00694B92">
      <w:pPr>
        <w:pStyle w:val="Textoindependiente"/>
        <w:spacing w:before="196" w:line="283" w:lineRule="auto"/>
        <w:ind w:left="396" w:right="404"/>
        <w:jc w:val="both"/>
        <w:rPr>
          <w:lang w:val="es-AR"/>
        </w:rPr>
      </w:pPr>
      <w:r w:rsidRPr="00CB5DFD">
        <w:rPr>
          <w:color w:val="212121"/>
          <w:lang w:val="es-AR"/>
        </w:rPr>
        <w:t>La empresa ejerció la opción de la RT 6 y la Res. JG 539-18 de presentar el Recpam incluido en los resultados financieros y por tenencia, y en una sola línea.</w:t>
      </w:r>
    </w:p>
    <w:p w:rsidR="00A93069" w:rsidRPr="00CB5DFD" w:rsidRDefault="00694B92">
      <w:pPr>
        <w:pStyle w:val="Textoindependiente"/>
        <w:spacing w:before="149" w:line="283" w:lineRule="auto"/>
        <w:ind w:left="396" w:right="406"/>
        <w:jc w:val="both"/>
        <w:rPr>
          <w:lang w:val="es-AR"/>
        </w:rPr>
      </w:pPr>
      <w:r w:rsidRPr="00CB5DFD">
        <w:rPr>
          <w:color w:val="212121"/>
          <w:lang w:val="es-AR"/>
        </w:rPr>
        <w:t>La no apertura de los resultados financieros y por tenencia (incluido el Recpam) genera la imposibilidad de determinar las magnitudes reales de los diferentes componentes de los resultados financieros y por tenencia, ni tampoco las magnitudes nominales ajustadas por inflación de los mismos y el efecto del recpam sobre dichos resultados. Esta limitación también impide la determinación de ciertas ratios financieros, tales como el rendimiento de los activos financieros, el costo de endeudamiento, el efecto “palanca”, etc.</w:t>
      </w:r>
    </w:p>
    <w:sectPr w:rsidR="00A93069" w:rsidRPr="00CB5DFD" w:rsidSect="0037776E">
      <w:pgSz w:w="12240" w:h="15840"/>
      <w:pgMar w:top="1220" w:right="1720" w:bottom="880" w:left="1720" w:header="706" w:footer="69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983" w:rsidRDefault="00AC6983">
      <w:r>
        <w:separator/>
      </w:r>
    </w:p>
  </w:endnote>
  <w:endnote w:type="continuationSeparator" w:id="1">
    <w:p w:rsidR="00AC6983" w:rsidRDefault="00AC698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983" w:rsidRDefault="00AC6983">
      <w:r>
        <w:separator/>
      </w:r>
    </w:p>
  </w:footnote>
  <w:footnote w:type="continuationSeparator" w:id="1">
    <w:p w:rsidR="00AC6983" w:rsidRDefault="00AC69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93D6E"/>
    <w:multiLevelType w:val="hybridMultilevel"/>
    <w:tmpl w:val="DD3E10E2"/>
    <w:lvl w:ilvl="0" w:tplc="18A841D8">
      <w:start w:val="1"/>
      <w:numFmt w:val="decimal"/>
      <w:lvlText w:val="%1."/>
      <w:lvlJc w:val="left"/>
      <w:pPr>
        <w:ind w:left="648" w:hanging="252"/>
        <w:jc w:val="left"/>
      </w:pPr>
      <w:rPr>
        <w:rFonts w:ascii="Arial" w:eastAsia="Arial" w:hAnsi="Arial" w:cs="Arial" w:hint="default"/>
        <w:b/>
        <w:bCs/>
        <w:color w:val="212121"/>
        <w:spacing w:val="-1"/>
        <w:w w:val="102"/>
        <w:sz w:val="22"/>
        <w:szCs w:val="22"/>
      </w:rPr>
    </w:lvl>
    <w:lvl w:ilvl="1" w:tplc="50FA1ADC">
      <w:start w:val="1"/>
      <w:numFmt w:val="lowerLetter"/>
      <w:lvlText w:val="%2)"/>
      <w:lvlJc w:val="left"/>
      <w:pPr>
        <w:ind w:left="1073" w:hanging="339"/>
        <w:jc w:val="left"/>
      </w:pPr>
      <w:rPr>
        <w:rFonts w:ascii="Arial" w:eastAsia="Arial" w:hAnsi="Arial" w:cs="Arial" w:hint="default"/>
        <w:color w:val="212121"/>
        <w:spacing w:val="-1"/>
        <w:w w:val="102"/>
        <w:sz w:val="22"/>
        <w:szCs w:val="22"/>
      </w:rPr>
    </w:lvl>
    <w:lvl w:ilvl="2" w:tplc="D97039B6">
      <w:numFmt w:val="bullet"/>
      <w:lvlText w:val="•"/>
      <w:lvlJc w:val="left"/>
      <w:pPr>
        <w:ind w:left="1937" w:hanging="339"/>
      </w:pPr>
      <w:rPr>
        <w:rFonts w:hint="default"/>
      </w:rPr>
    </w:lvl>
    <w:lvl w:ilvl="3" w:tplc="56149F6C">
      <w:numFmt w:val="bullet"/>
      <w:lvlText w:val="•"/>
      <w:lvlJc w:val="left"/>
      <w:pPr>
        <w:ind w:left="2795" w:hanging="339"/>
      </w:pPr>
      <w:rPr>
        <w:rFonts w:hint="default"/>
      </w:rPr>
    </w:lvl>
    <w:lvl w:ilvl="4" w:tplc="91E20C12">
      <w:numFmt w:val="bullet"/>
      <w:lvlText w:val="•"/>
      <w:lvlJc w:val="left"/>
      <w:pPr>
        <w:ind w:left="3653" w:hanging="339"/>
      </w:pPr>
      <w:rPr>
        <w:rFonts w:hint="default"/>
      </w:rPr>
    </w:lvl>
    <w:lvl w:ilvl="5" w:tplc="699C0420">
      <w:numFmt w:val="bullet"/>
      <w:lvlText w:val="•"/>
      <w:lvlJc w:val="left"/>
      <w:pPr>
        <w:ind w:left="4511" w:hanging="339"/>
      </w:pPr>
      <w:rPr>
        <w:rFonts w:hint="default"/>
      </w:rPr>
    </w:lvl>
    <w:lvl w:ilvl="6" w:tplc="7B82B9B4">
      <w:numFmt w:val="bullet"/>
      <w:lvlText w:val="•"/>
      <w:lvlJc w:val="left"/>
      <w:pPr>
        <w:ind w:left="5368" w:hanging="339"/>
      </w:pPr>
      <w:rPr>
        <w:rFonts w:hint="default"/>
      </w:rPr>
    </w:lvl>
    <w:lvl w:ilvl="7" w:tplc="E070CA6C">
      <w:numFmt w:val="bullet"/>
      <w:lvlText w:val="•"/>
      <w:lvlJc w:val="left"/>
      <w:pPr>
        <w:ind w:left="6226" w:hanging="339"/>
      </w:pPr>
      <w:rPr>
        <w:rFonts w:hint="default"/>
      </w:rPr>
    </w:lvl>
    <w:lvl w:ilvl="8" w:tplc="0C72E2A8">
      <w:numFmt w:val="bullet"/>
      <w:lvlText w:val="•"/>
      <w:lvlJc w:val="left"/>
      <w:pPr>
        <w:ind w:left="7084" w:hanging="339"/>
      </w:pPr>
      <w:rPr>
        <w:rFonts w:hint="default"/>
      </w:rPr>
    </w:lvl>
  </w:abstractNum>
  <w:abstractNum w:abstractNumId="1">
    <w:nsid w:val="518F16D2"/>
    <w:multiLevelType w:val="hybridMultilevel"/>
    <w:tmpl w:val="8EA024EC"/>
    <w:lvl w:ilvl="0" w:tplc="F1E8FCEE">
      <w:start w:val="1"/>
      <w:numFmt w:val="upperLetter"/>
      <w:lvlText w:val="%1."/>
      <w:lvlJc w:val="left"/>
      <w:pPr>
        <w:ind w:left="675" w:hanging="279"/>
        <w:jc w:val="left"/>
      </w:pPr>
      <w:rPr>
        <w:rFonts w:ascii="Arial" w:eastAsia="Arial" w:hAnsi="Arial" w:cs="Arial" w:hint="default"/>
        <w:b/>
        <w:color w:val="212121"/>
        <w:spacing w:val="0"/>
        <w:w w:val="102"/>
        <w:sz w:val="22"/>
        <w:szCs w:val="22"/>
      </w:rPr>
    </w:lvl>
    <w:lvl w:ilvl="1" w:tplc="DBDACF64">
      <w:numFmt w:val="bullet"/>
      <w:lvlText w:val="•"/>
      <w:lvlJc w:val="left"/>
      <w:pPr>
        <w:ind w:left="1492" w:hanging="279"/>
      </w:pPr>
      <w:rPr>
        <w:rFonts w:hint="default"/>
      </w:rPr>
    </w:lvl>
    <w:lvl w:ilvl="2" w:tplc="A956D632">
      <w:numFmt w:val="bullet"/>
      <w:lvlText w:val="•"/>
      <w:lvlJc w:val="left"/>
      <w:pPr>
        <w:ind w:left="2304" w:hanging="279"/>
      </w:pPr>
      <w:rPr>
        <w:rFonts w:hint="default"/>
      </w:rPr>
    </w:lvl>
    <w:lvl w:ilvl="3" w:tplc="D4DC8E46">
      <w:numFmt w:val="bullet"/>
      <w:lvlText w:val="•"/>
      <w:lvlJc w:val="left"/>
      <w:pPr>
        <w:ind w:left="3116" w:hanging="279"/>
      </w:pPr>
      <w:rPr>
        <w:rFonts w:hint="default"/>
      </w:rPr>
    </w:lvl>
    <w:lvl w:ilvl="4" w:tplc="A7A869A2">
      <w:numFmt w:val="bullet"/>
      <w:lvlText w:val="•"/>
      <w:lvlJc w:val="left"/>
      <w:pPr>
        <w:ind w:left="3928" w:hanging="279"/>
      </w:pPr>
      <w:rPr>
        <w:rFonts w:hint="default"/>
      </w:rPr>
    </w:lvl>
    <w:lvl w:ilvl="5" w:tplc="D2E2DD28">
      <w:numFmt w:val="bullet"/>
      <w:lvlText w:val="•"/>
      <w:lvlJc w:val="left"/>
      <w:pPr>
        <w:ind w:left="4740" w:hanging="279"/>
      </w:pPr>
      <w:rPr>
        <w:rFonts w:hint="default"/>
      </w:rPr>
    </w:lvl>
    <w:lvl w:ilvl="6" w:tplc="EEA6F78A">
      <w:numFmt w:val="bullet"/>
      <w:lvlText w:val="•"/>
      <w:lvlJc w:val="left"/>
      <w:pPr>
        <w:ind w:left="5552" w:hanging="279"/>
      </w:pPr>
      <w:rPr>
        <w:rFonts w:hint="default"/>
      </w:rPr>
    </w:lvl>
    <w:lvl w:ilvl="7" w:tplc="053C17AE">
      <w:numFmt w:val="bullet"/>
      <w:lvlText w:val="•"/>
      <w:lvlJc w:val="left"/>
      <w:pPr>
        <w:ind w:left="6364" w:hanging="279"/>
      </w:pPr>
      <w:rPr>
        <w:rFonts w:hint="default"/>
      </w:rPr>
    </w:lvl>
    <w:lvl w:ilvl="8" w:tplc="D2025650">
      <w:numFmt w:val="bullet"/>
      <w:lvlText w:val="•"/>
      <w:lvlJc w:val="left"/>
      <w:pPr>
        <w:ind w:left="7176" w:hanging="279"/>
      </w:pPr>
      <w:rPr>
        <w:rFonts w:hint="default"/>
      </w:rPr>
    </w:lvl>
  </w:abstractNum>
  <w:abstractNum w:abstractNumId="2">
    <w:nsid w:val="5F186AF0"/>
    <w:multiLevelType w:val="hybridMultilevel"/>
    <w:tmpl w:val="705AC8B6"/>
    <w:lvl w:ilvl="0" w:tplc="60BC9A0C">
      <w:start w:val="1"/>
      <w:numFmt w:val="lowerLetter"/>
      <w:lvlText w:val="%1."/>
      <w:lvlJc w:val="left"/>
      <w:pPr>
        <w:ind w:left="396" w:hanging="240"/>
        <w:jc w:val="left"/>
      </w:pPr>
      <w:rPr>
        <w:rFonts w:hint="default"/>
        <w:spacing w:val="-1"/>
        <w:w w:val="102"/>
      </w:rPr>
    </w:lvl>
    <w:lvl w:ilvl="1" w:tplc="5102303A">
      <w:numFmt w:val="bullet"/>
      <w:lvlText w:val="•"/>
      <w:lvlJc w:val="left"/>
      <w:pPr>
        <w:ind w:left="1240" w:hanging="240"/>
      </w:pPr>
      <w:rPr>
        <w:rFonts w:hint="default"/>
      </w:rPr>
    </w:lvl>
    <w:lvl w:ilvl="2" w:tplc="9C1C48A4">
      <w:numFmt w:val="bullet"/>
      <w:lvlText w:val="•"/>
      <w:lvlJc w:val="left"/>
      <w:pPr>
        <w:ind w:left="2080" w:hanging="240"/>
      </w:pPr>
      <w:rPr>
        <w:rFonts w:hint="default"/>
      </w:rPr>
    </w:lvl>
    <w:lvl w:ilvl="3" w:tplc="34F86ABE">
      <w:numFmt w:val="bullet"/>
      <w:lvlText w:val="•"/>
      <w:lvlJc w:val="left"/>
      <w:pPr>
        <w:ind w:left="2920" w:hanging="240"/>
      </w:pPr>
      <w:rPr>
        <w:rFonts w:hint="default"/>
      </w:rPr>
    </w:lvl>
    <w:lvl w:ilvl="4" w:tplc="874613FE">
      <w:numFmt w:val="bullet"/>
      <w:lvlText w:val="•"/>
      <w:lvlJc w:val="left"/>
      <w:pPr>
        <w:ind w:left="3760" w:hanging="240"/>
      </w:pPr>
      <w:rPr>
        <w:rFonts w:hint="default"/>
      </w:rPr>
    </w:lvl>
    <w:lvl w:ilvl="5" w:tplc="41B4057A">
      <w:numFmt w:val="bullet"/>
      <w:lvlText w:val="•"/>
      <w:lvlJc w:val="left"/>
      <w:pPr>
        <w:ind w:left="4600" w:hanging="240"/>
      </w:pPr>
      <w:rPr>
        <w:rFonts w:hint="default"/>
      </w:rPr>
    </w:lvl>
    <w:lvl w:ilvl="6" w:tplc="5C2A33A8">
      <w:numFmt w:val="bullet"/>
      <w:lvlText w:val="•"/>
      <w:lvlJc w:val="left"/>
      <w:pPr>
        <w:ind w:left="5440" w:hanging="240"/>
      </w:pPr>
      <w:rPr>
        <w:rFonts w:hint="default"/>
      </w:rPr>
    </w:lvl>
    <w:lvl w:ilvl="7" w:tplc="14F2097C">
      <w:numFmt w:val="bullet"/>
      <w:lvlText w:val="•"/>
      <w:lvlJc w:val="left"/>
      <w:pPr>
        <w:ind w:left="6280" w:hanging="240"/>
      </w:pPr>
      <w:rPr>
        <w:rFonts w:hint="default"/>
      </w:rPr>
    </w:lvl>
    <w:lvl w:ilvl="8" w:tplc="338004C0">
      <w:numFmt w:val="bullet"/>
      <w:lvlText w:val="•"/>
      <w:lvlJc w:val="left"/>
      <w:pPr>
        <w:ind w:left="7120" w:hanging="240"/>
      </w:pPr>
      <w:rPr>
        <w:rFonts w:hint="default"/>
      </w:rPr>
    </w:lvl>
  </w:abstractNum>
  <w:abstractNum w:abstractNumId="3">
    <w:nsid w:val="736A7767"/>
    <w:multiLevelType w:val="hybridMultilevel"/>
    <w:tmpl w:val="F158534C"/>
    <w:lvl w:ilvl="0" w:tplc="153E2B62">
      <w:start w:val="1"/>
      <w:numFmt w:val="decimal"/>
      <w:lvlText w:val="%1."/>
      <w:lvlJc w:val="left"/>
      <w:pPr>
        <w:ind w:left="648" w:hanging="252"/>
        <w:jc w:val="left"/>
      </w:pPr>
      <w:rPr>
        <w:rFonts w:ascii="Arial" w:eastAsia="Arial" w:hAnsi="Arial" w:cs="Arial" w:hint="default"/>
        <w:b/>
        <w:bCs/>
        <w:color w:val="212121"/>
        <w:spacing w:val="-1"/>
        <w:w w:val="102"/>
        <w:sz w:val="22"/>
        <w:szCs w:val="22"/>
      </w:rPr>
    </w:lvl>
    <w:lvl w:ilvl="1" w:tplc="DAEC3B38">
      <w:numFmt w:val="bullet"/>
      <w:lvlText w:val="•"/>
      <w:lvlJc w:val="left"/>
      <w:pPr>
        <w:ind w:left="1456" w:hanging="252"/>
      </w:pPr>
      <w:rPr>
        <w:rFonts w:hint="default"/>
      </w:rPr>
    </w:lvl>
    <w:lvl w:ilvl="2" w:tplc="3A6235A2">
      <w:numFmt w:val="bullet"/>
      <w:lvlText w:val="•"/>
      <w:lvlJc w:val="left"/>
      <w:pPr>
        <w:ind w:left="2272" w:hanging="252"/>
      </w:pPr>
      <w:rPr>
        <w:rFonts w:hint="default"/>
      </w:rPr>
    </w:lvl>
    <w:lvl w:ilvl="3" w:tplc="1130D99E">
      <w:numFmt w:val="bullet"/>
      <w:lvlText w:val="•"/>
      <w:lvlJc w:val="left"/>
      <w:pPr>
        <w:ind w:left="3088" w:hanging="252"/>
      </w:pPr>
      <w:rPr>
        <w:rFonts w:hint="default"/>
      </w:rPr>
    </w:lvl>
    <w:lvl w:ilvl="4" w:tplc="2FC61F8A">
      <w:numFmt w:val="bullet"/>
      <w:lvlText w:val="•"/>
      <w:lvlJc w:val="left"/>
      <w:pPr>
        <w:ind w:left="3904" w:hanging="252"/>
      </w:pPr>
      <w:rPr>
        <w:rFonts w:hint="default"/>
      </w:rPr>
    </w:lvl>
    <w:lvl w:ilvl="5" w:tplc="6B3C34DA">
      <w:numFmt w:val="bullet"/>
      <w:lvlText w:val="•"/>
      <w:lvlJc w:val="left"/>
      <w:pPr>
        <w:ind w:left="4720" w:hanging="252"/>
      </w:pPr>
      <w:rPr>
        <w:rFonts w:hint="default"/>
      </w:rPr>
    </w:lvl>
    <w:lvl w:ilvl="6" w:tplc="0B2CD5EE">
      <w:numFmt w:val="bullet"/>
      <w:lvlText w:val="•"/>
      <w:lvlJc w:val="left"/>
      <w:pPr>
        <w:ind w:left="5536" w:hanging="252"/>
      </w:pPr>
      <w:rPr>
        <w:rFonts w:hint="default"/>
      </w:rPr>
    </w:lvl>
    <w:lvl w:ilvl="7" w:tplc="8D42A62E">
      <w:numFmt w:val="bullet"/>
      <w:lvlText w:val="•"/>
      <w:lvlJc w:val="left"/>
      <w:pPr>
        <w:ind w:left="6352" w:hanging="252"/>
      </w:pPr>
      <w:rPr>
        <w:rFonts w:hint="default"/>
      </w:rPr>
    </w:lvl>
    <w:lvl w:ilvl="8" w:tplc="C4E411EC">
      <w:numFmt w:val="bullet"/>
      <w:lvlText w:val="•"/>
      <w:lvlJc w:val="left"/>
      <w:pPr>
        <w:ind w:left="7168" w:hanging="252"/>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ulTrailSpace/>
  </w:compat>
  <w:rsids>
    <w:rsidRoot w:val="00A93069"/>
    <w:rsid w:val="001E75BE"/>
    <w:rsid w:val="0037776E"/>
    <w:rsid w:val="00694B92"/>
    <w:rsid w:val="00A93069"/>
    <w:rsid w:val="00AC6983"/>
    <w:rsid w:val="00C61BEE"/>
    <w:rsid w:val="00CB5DFD"/>
    <w:rsid w:val="00DB34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776E"/>
    <w:rPr>
      <w:rFonts w:ascii="Arial" w:eastAsia="Arial" w:hAnsi="Arial" w:cs="Arial"/>
    </w:rPr>
  </w:style>
  <w:style w:type="paragraph" w:styleId="Ttulo1">
    <w:name w:val="heading 1"/>
    <w:basedOn w:val="Normal"/>
    <w:uiPriority w:val="1"/>
    <w:qFormat/>
    <w:rsid w:val="0037776E"/>
    <w:pPr>
      <w:spacing w:before="93"/>
      <w:ind w:left="396"/>
      <w:outlineLvl w:val="0"/>
    </w:pPr>
    <w:rPr>
      <w:b/>
      <w:bCs/>
      <w:sz w:val="26"/>
      <w:szCs w:val="26"/>
    </w:rPr>
  </w:style>
  <w:style w:type="paragraph" w:styleId="Ttulo2">
    <w:name w:val="heading 2"/>
    <w:basedOn w:val="Normal"/>
    <w:uiPriority w:val="1"/>
    <w:qFormat/>
    <w:rsid w:val="0037776E"/>
    <w:pPr>
      <w:spacing w:before="196"/>
      <w:ind w:left="396"/>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7776E"/>
    <w:tblPr>
      <w:tblInd w:w="0" w:type="dxa"/>
      <w:tblCellMar>
        <w:top w:w="0" w:type="dxa"/>
        <w:left w:w="0" w:type="dxa"/>
        <w:bottom w:w="0" w:type="dxa"/>
        <w:right w:w="0" w:type="dxa"/>
      </w:tblCellMar>
    </w:tblPr>
  </w:style>
  <w:style w:type="paragraph" w:styleId="Textoindependiente">
    <w:name w:val="Body Text"/>
    <w:basedOn w:val="Normal"/>
    <w:uiPriority w:val="1"/>
    <w:qFormat/>
    <w:rsid w:val="0037776E"/>
  </w:style>
  <w:style w:type="paragraph" w:styleId="Prrafodelista">
    <w:name w:val="List Paragraph"/>
    <w:basedOn w:val="Normal"/>
    <w:uiPriority w:val="1"/>
    <w:qFormat/>
    <w:rsid w:val="0037776E"/>
    <w:pPr>
      <w:ind w:left="648" w:hanging="252"/>
    </w:pPr>
  </w:style>
  <w:style w:type="paragraph" w:customStyle="1" w:styleId="TableParagraph">
    <w:name w:val="Table Paragraph"/>
    <w:basedOn w:val="Normal"/>
    <w:uiPriority w:val="1"/>
    <w:qFormat/>
    <w:rsid w:val="0037776E"/>
  </w:style>
  <w:style w:type="paragraph" w:styleId="Encabezado">
    <w:name w:val="header"/>
    <w:basedOn w:val="Normal"/>
    <w:link w:val="EncabezadoCar"/>
    <w:uiPriority w:val="99"/>
    <w:unhideWhenUsed/>
    <w:rsid w:val="00C61BEE"/>
    <w:pPr>
      <w:tabs>
        <w:tab w:val="center" w:pos="4419"/>
        <w:tab w:val="right" w:pos="8838"/>
      </w:tabs>
    </w:pPr>
  </w:style>
  <w:style w:type="character" w:customStyle="1" w:styleId="EncabezadoCar">
    <w:name w:val="Encabezado Car"/>
    <w:basedOn w:val="Fuentedeprrafopredeter"/>
    <w:link w:val="Encabezado"/>
    <w:uiPriority w:val="99"/>
    <w:rsid w:val="00C61BEE"/>
    <w:rPr>
      <w:rFonts w:ascii="Arial" w:eastAsia="Arial" w:hAnsi="Arial" w:cs="Arial"/>
    </w:rPr>
  </w:style>
  <w:style w:type="paragraph" w:styleId="Piedepgina">
    <w:name w:val="footer"/>
    <w:basedOn w:val="Normal"/>
    <w:link w:val="PiedepginaCar"/>
    <w:uiPriority w:val="99"/>
    <w:unhideWhenUsed/>
    <w:rsid w:val="00C61BEE"/>
    <w:pPr>
      <w:tabs>
        <w:tab w:val="center" w:pos="4419"/>
        <w:tab w:val="right" w:pos="8838"/>
      </w:tabs>
    </w:pPr>
  </w:style>
  <w:style w:type="character" w:customStyle="1" w:styleId="PiedepginaCar">
    <w:name w:val="Pie de página Car"/>
    <w:basedOn w:val="Fuentedeprrafopredeter"/>
    <w:link w:val="Piedepgina"/>
    <w:uiPriority w:val="99"/>
    <w:rsid w:val="00C61BEE"/>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1500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Modelos de notas Resolución 539-18 Segunda parte para publicar</vt:lpstr>
    </vt:vector>
  </TitlesOfParts>
  <Company>Hewlett-Packard Company</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Modelos de notas Resolución 539-18 Segunda parte para publicar</dc:title>
  <dc:creator>Jorge</dc:creator>
  <cp:lastModifiedBy>TOSHIBA</cp:lastModifiedBy>
  <cp:revision>3</cp:revision>
  <dcterms:created xsi:type="dcterms:W3CDTF">2019-01-02T23:15:00Z</dcterms:created>
  <dcterms:modified xsi:type="dcterms:W3CDTF">2019-01-02T23:16:00Z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2018-12-26T00:00:00Z</vt:filetime>
  </property>
  <property fmtid="{D5CDD505-2E9C-101B-9397-08002B2CF9AE}" pid="3" name="Creator">
    <vt:lpwstr>PDFCreator 2.4.0.213</vt:lpwstr>
  </property>
  <property fmtid="{D5CDD505-2E9C-101B-9397-08002B2CF9AE}" pid="4" name="LastSaved">
    <vt:filetime>2019-01-02T00:00:00Z</vt:filetime>
  </property>
</Properties>
</file>